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5BB" w14:textId="77777777" w:rsidR="00C71150" w:rsidRDefault="00C71150" w:rsidP="00C71150">
      <w:pPr>
        <w:jc w:val="center"/>
      </w:pPr>
      <w:r>
        <w:rPr>
          <w:noProof/>
          <w:lang w:eastAsia="fr-CA"/>
        </w:rPr>
        <w:drawing>
          <wp:inline distT="0" distB="0" distL="0" distR="0" wp14:anchorId="584B5E44" wp14:editId="5E6C4765">
            <wp:extent cx="3181182" cy="949325"/>
            <wp:effectExtent l="0" t="0" r="635" b="3175"/>
            <wp:docPr id="1" name="Image 1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QRI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1" cy="95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D827" w14:textId="77777777" w:rsidR="00C71150" w:rsidRPr="005C41DF" w:rsidRDefault="00C71150" w:rsidP="00904896">
      <w:pPr>
        <w:jc w:val="both"/>
      </w:pPr>
    </w:p>
    <w:p w14:paraId="59B4A9F8" w14:textId="7B93B35F" w:rsidR="00275E20" w:rsidRPr="005C41DF" w:rsidRDefault="0073629C" w:rsidP="00904896">
      <w:pPr>
        <w:jc w:val="both"/>
        <w:rPr>
          <w:b/>
          <w:bCs/>
        </w:rPr>
      </w:pPr>
      <w:r w:rsidRPr="005C41DF">
        <w:rPr>
          <w:b/>
          <w:bCs/>
        </w:rPr>
        <w:t>COMMUNIQUÉ</w:t>
      </w:r>
    </w:p>
    <w:p w14:paraId="703B94D6" w14:textId="77777777" w:rsidR="004B7492" w:rsidRPr="005C41DF" w:rsidRDefault="004B7492" w:rsidP="00904896">
      <w:pPr>
        <w:jc w:val="both"/>
      </w:pPr>
    </w:p>
    <w:p w14:paraId="7AA45DF6" w14:textId="77777777" w:rsidR="005C6037" w:rsidRPr="005C41DF" w:rsidRDefault="005C6037" w:rsidP="00904896">
      <w:pPr>
        <w:jc w:val="both"/>
      </w:pPr>
    </w:p>
    <w:p w14:paraId="23FDA1F2" w14:textId="2B75CFF5" w:rsidR="009023CC" w:rsidRPr="005C41DF" w:rsidRDefault="007C6209" w:rsidP="009023CC">
      <w:pPr>
        <w:jc w:val="center"/>
        <w:rPr>
          <w:b/>
          <w:bCs/>
        </w:rPr>
      </w:pPr>
      <w:r w:rsidRPr="005C41DF">
        <w:rPr>
          <w:b/>
          <w:bCs/>
        </w:rPr>
        <w:t>Aide médicale à mourir</w:t>
      </w:r>
      <w:r w:rsidR="00025678" w:rsidRPr="005C41DF">
        <w:rPr>
          <w:b/>
          <w:bCs/>
        </w:rPr>
        <w:t xml:space="preserve"> (AMM)</w:t>
      </w:r>
      <w:r w:rsidR="00D13D23" w:rsidRPr="005C41DF">
        <w:rPr>
          <w:b/>
          <w:bCs/>
        </w:rPr>
        <w:t> :</w:t>
      </w:r>
    </w:p>
    <w:p w14:paraId="66EB144F" w14:textId="77777777" w:rsidR="009023CC" w:rsidRPr="005C41DF" w:rsidRDefault="009023CC" w:rsidP="00904896">
      <w:pPr>
        <w:jc w:val="both"/>
        <w:rPr>
          <w:b/>
          <w:bCs/>
        </w:rPr>
      </w:pPr>
    </w:p>
    <w:p w14:paraId="13E8F085" w14:textId="7A02F28C" w:rsidR="00D13D23" w:rsidRPr="005C41DF" w:rsidRDefault="009023CC" w:rsidP="009023CC">
      <w:pPr>
        <w:jc w:val="center"/>
        <w:rPr>
          <w:b/>
          <w:bCs/>
        </w:rPr>
      </w:pPr>
      <w:r w:rsidRPr="005C41DF">
        <w:rPr>
          <w:b/>
          <w:bCs/>
        </w:rPr>
        <w:t>L</w:t>
      </w:r>
      <w:r w:rsidR="00D13D23" w:rsidRPr="005C41DF">
        <w:rPr>
          <w:b/>
          <w:bCs/>
        </w:rPr>
        <w:t>’AQRIPH</w:t>
      </w:r>
      <w:r w:rsidR="00025678" w:rsidRPr="005C41DF">
        <w:rPr>
          <w:b/>
          <w:bCs/>
        </w:rPr>
        <w:t xml:space="preserve"> réclame</w:t>
      </w:r>
      <w:r w:rsidR="007F5407" w:rsidRPr="005C41DF">
        <w:rPr>
          <w:b/>
          <w:bCs/>
        </w:rPr>
        <w:t xml:space="preserve"> </w:t>
      </w:r>
      <w:r w:rsidR="002B4937" w:rsidRPr="005C41DF">
        <w:rPr>
          <w:b/>
          <w:bCs/>
        </w:rPr>
        <w:t xml:space="preserve">une ouverture cohérente à l’AMM, </w:t>
      </w:r>
      <w:r w:rsidR="007F5407" w:rsidRPr="005C41DF">
        <w:rPr>
          <w:b/>
          <w:bCs/>
        </w:rPr>
        <w:t>le respect du principe du droit à l’</w:t>
      </w:r>
      <w:r w:rsidR="00E100E8" w:rsidRPr="005C41DF">
        <w:rPr>
          <w:b/>
          <w:bCs/>
        </w:rPr>
        <w:t xml:space="preserve">égalité et un réseau apte </w:t>
      </w:r>
      <w:r w:rsidR="00D04290">
        <w:rPr>
          <w:b/>
          <w:bCs/>
        </w:rPr>
        <w:t xml:space="preserve">et </w:t>
      </w:r>
      <w:r w:rsidR="004077D2" w:rsidRPr="005C41DF">
        <w:rPr>
          <w:b/>
          <w:bCs/>
        </w:rPr>
        <w:t xml:space="preserve">mieux préparé pour soutenir les personnes </w:t>
      </w:r>
      <w:r w:rsidR="00F25690">
        <w:rPr>
          <w:b/>
          <w:bCs/>
        </w:rPr>
        <w:t xml:space="preserve">handicapées </w:t>
      </w:r>
      <w:r w:rsidR="004077D2" w:rsidRPr="005C41DF">
        <w:rPr>
          <w:b/>
          <w:bCs/>
        </w:rPr>
        <w:t>et leurs proches</w:t>
      </w:r>
    </w:p>
    <w:p w14:paraId="6B452F74" w14:textId="77777777" w:rsidR="005C6037" w:rsidRDefault="005C6037" w:rsidP="00904896">
      <w:pPr>
        <w:jc w:val="both"/>
      </w:pPr>
    </w:p>
    <w:p w14:paraId="5469F183" w14:textId="77777777" w:rsidR="005C6037" w:rsidRDefault="005C6037" w:rsidP="00904896">
      <w:pPr>
        <w:jc w:val="both"/>
      </w:pPr>
    </w:p>
    <w:p w14:paraId="55B1895C" w14:textId="65C7FFE2" w:rsidR="007448ED" w:rsidRDefault="00275E20" w:rsidP="00904896">
      <w:pPr>
        <w:jc w:val="both"/>
        <w:rPr>
          <w:b/>
          <w:bCs/>
        </w:rPr>
      </w:pPr>
      <w:r>
        <w:t>Québec, 2</w:t>
      </w:r>
      <w:r w:rsidR="00877F98">
        <w:t>9</w:t>
      </w:r>
      <w:r>
        <w:t xml:space="preserve"> mars 20</w:t>
      </w:r>
      <w:r w:rsidR="007C6209">
        <w:t>23</w:t>
      </w:r>
      <w:r w:rsidR="00025678">
        <w:t xml:space="preserve"> – </w:t>
      </w:r>
      <w:r w:rsidR="004864B0" w:rsidRPr="00F008B5">
        <w:rPr>
          <w:b/>
          <w:bCs/>
        </w:rPr>
        <w:t>L’Alliance québécoise des regroupements régionaux pour l’intégration des personnes handicapées</w:t>
      </w:r>
      <w:r w:rsidR="0099219C" w:rsidRPr="00F008B5">
        <w:rPr>
          <w:b/>
          <w:bCs/>
        </w:rPr>
        <w:t xml:space="preserve"> (AQR</w:t>
      </w:r>
      <w:r w:rsidR="003D0892" w:rsidRPr="00F008B5">
        <w:rPr>
          <w:b/>
          <w:bCs/>
        </w:rPr>
        <w:t>IPH)</w:t>
      </w:r>
      <w:r w:rsidR="004864B0" w:rsidRPr="00F008B5">
        <w:rPr>
          <w:b/>
          <w:bCs/>
        </w:rPr>
        <w:t xml:space="preserve"> </w:t>
      </w:r>
      <w:r w:rsidR="00A111E7">
        <w:rPr>
          <w:b/>
          <w:bCs/>
        </w:rPr>
        <w:t xml:space="preserve">demande que l’accès au soin de l’AMM </w:t>
      </w:r>
      <w:r w:rsidR="00B775C4">
        <w:rPr>
          <w:b/>
          <w:bCs/>
        </w:rPr>
        <w:t xml:space="preserve">soit </w:t>
      </w:r>
      <w:r w:rsidR="00F65F7B">
        <w:rPr>
          <w:b/>
          <w:bCs/>
        </w:rPr>
        <w:t>disponible</w:t>
      </w:r>
      <w:r w:rsidR="00B775C4">
        <w:rPr>
          <w:b/>
          <w:bCs/>
        </w:rPr>
        <w:t xml:space="preserve"> à toute personne ayant des souffrances constantes, insupportables, ne pouvant être apaisé</w:t>
      </w:r>
      <w:r w:rsidR="00871D88">
        <w:rPr>
          <w:b/>
          <w:bCs/>
        </w:rPr>
        <w:t>es</w:t>
      </w:r>
      <w:r w:rsidR="00FB3E30">
        <w:rPr>
          <w:b/>
          <w:bCs/>
        </w:rPr>
        <w:t>,</w:t>
      </w:r>
      <w:r w:rsidR="00F65F7B">
        <w:rPr>
          <w:b/>
          <w:bCs/>
        </w:rPr>
        <w:t xml:space="preserve"> et cela</w:t>
      </w:r>
      <w:r w:rsidR="00FB3E30">
        <w:rPr>
          <w:b/>
          <w:bCs/>
        </w:rPr>
        <w:t>,</w:t>
      </w:r>
      <w:r w:rsidR="00F65F7B">
        <w:rPr>
          <w:b/>
          <w:bCs/>
        </w:rPr>
        <w:t xml:space="preserve"> </w:t>
      </w:r>
      <w:r w:rsidR="00871D88">
        <w:rPr>
          <w:b/>
          <w:bCs/>
        </w:rPr>
        <w:t>sans perspective d’amélioration</w:t>
      </w:r>
      <w:r w:rsidR="00F65F7B">
        <w:rPr>
          <w:b/>
          <w:bCs/>
        </w:rPr>
        <w:t xml:space="preserve">. </w:t>
      </w:r>
    </w:p>
    <w:p w14:paraId="79E15F9D" w14:textId="77777777" w:rsidR="007448ED" w:rsidRDefault="007448ED" w:rsidP="00904896">
      <w:pPr>
        <w:jc w:val="both"/>
        <w:rPr>
          <w:b/>
          <w:bCs/>
        </w:rPr>
      </w:pPr>
    </w:p>
    <w:p w14:paraId="7FFADCCF" w14:textId="4A14115D" w:rsidR="007448ED" w:rsidRDefault="00F65F7B" w:rsidP="00904896">
      <w:pPr>
        <w:jc w:val="both"/>
        <w:rPr>
          <w:b/>
          <w:bCs/>
        </w:rPr>
      </w:pPr>
      <w:r>
        <w:rPr>
          <w:b/>
          <w:bCs/>
        </w:rPr>
        <w:t>L’AQRIPH demande aus</w:t>
      </w:r>
      <w:r w:rsidR="00FB66AB">
        <w:rPr>
          <w:b/>
          <w:bCs/>
        </w:rPr>
        <w:t>si la création d’un groupe d’expert</w:t>
      </w:r>
      <w:r w:rsidR="007448ED">
        <w:rPr>
          <w:b/>
          <w:bCs/>
        </w:rPr>
        <w:t>s</w:t>
      </w:r>
      <w:r w:rsidR="00FB66AB">
        <w:rPr>
          <w:b/>
          <w:bCs/>
        </w:rPr>
        <w:t xml:space="preserve"> pour examiner </w:t>
      </w:r>
      <w:r w:rsidR="00AE4B00">
        <w:rPr>
          <w:b/>
          <w:bCs/>
        </w:rPr>
        <w:t xml:space="preserve">le sort des personnes mineures </w:t>
      </w:r>
      <w:r w:rsidR="00CB19EA">
        <w:rPr>
          <w:b/>
          <w:bCs/>
        </w:rPr>
        <w:t>ou</w:t>
      </w:r>
      <w:r w:rsidR="00DF4044">
        <w:rPr>
          <w:b/>
          <w:bCs/>
        </w:rPr>
        <w:t xml:space="preserve"> inaptes à consentir à ce soin</w:t>
      </w:r>
      <w:r w:rsidR="008448FD">
        <w:rPr>
          <w:b/>
          <w:bCs/>
        </w:rPr>
        <w:t>,</w:t>
      </w:r>
      <w:r w:rsidR="00DF4044">
        <w:rPr>
          <w:b/>
          <w:bCs/>
        </w:rPr>
        <w:t xml:space="preserve"> </w:t>
      </w:r>
      <w:r w:rsidR="003508B2">
        <w:rPr>
          <w:b/>
          <w:bCs/>
        </w:rPr>
        <w:t>en cohérence avec le droit à l’égalité garanti</w:t>
      </w:r>
      <w:r w:rsidR="00616F18">
        <w:rPr>
          <w:b/>
          <w:bCs/>
        </w:rPr>
        <w:t xml:space="preserve"> par les chartes des droits et libertés.</w:t>
      </w:r>
    </w:p>
    <w:p w14:paraId="58C77C51" w14:textId="77777777" w:rsidR="007448ED" w:rsidRDefault="007448ED" w:rsidP="00904896">
      <w:pPr>
        <w:jc w:val="both"/>
        <w:rPr>
          <w:b/>
          <w:bCs/>
        </w:rPr>
      </w:pPr>
    </w:p>
    <w:p w14:paraId="33566177" w14:textId="1B8D2B9D" w:rsidR="00871D88" w:rsidRDefault="00616F18" w:rsidP="00904896">
      <w:pPr>
        <w:jc w:val="both"/>
        <w:rPr>
          <w:b/>
          <w:bCs/>
        </w:rPr>
      </w:pPr>
      <w:r>
        <w:rPr>
          <w:b/>
          <w:bCs/>
        </w:rPr>
        <w:t>L’AQRIPH réclame également une meilleure préparation du réseau de la santé et des services sociaux dans l’accompag</w:t>
      </w:r>
      <w:r w:rsidR="00A23AE2">
        <w:rPr>
          <w:b/>
          <w:bCs/>
        </w:rPr>
        <w:t>n</w:t>
      </w:r>
      <w:r>
        <w:rPr>
          <w:b/>
          <w:bCs/>
        </w:rPr>
        <w:t>ement des demandeurs de l’AMM et de</w:t>
      </w:r>
      <w:r w:rsidR="00A23AE2">
        <w:rPr>
          <w:b/>
          <w:bCs/>
        </w:rPr>
        <w:t>s proches de ceux-ci.</w:t>
      </w:r>
    </w:p>
    <w:p w14:paraId="7705BB8D" w14:textId="77777777" w:rsidR="00871D88" w:rsidRDefault="00871D88" w:rsidP="00904896">
      <w:pPr>
        <w:jc w:val="both"/>
        <w:rPr>
          <w:b/>
          <w:bCs/>
        </w:rPr>
      </w:pPr>
    </w:p>
    <w:p w14:paraId="208B7668" w14:textId="02E3406E" w:rsidR="005C41DF" w:rsidRDefault="005C2353" w:rsidP="00904896">
      <w:pPr>
        <w:jc w:val="both"/>
        <w:rPr>
          <w:bCs/>
        </w:rPr>
      </w:pPr>
      <w:r w:rsidRPr="00125E6A">
        <w:rPr>
          <w:bCs/>
        </w:rPr>
        <w:t>Partant du principe qu’aucune personne ne devrait être contrainte de subir des souffrances constantes et insupportables qui ne peuvent être apaisées</w:t>
      </w:r>
      <w:r w:rsidR="00C47DF6">
        <w:rPr>
          <w:bCs/>
        </w:rPr>
        <w:t xml:space="preserve"> et </w:t>
      </w:r>
      <w:r w:rsidR="007E5534">
        <w:rPr>
          <w:bCs/>
        </w:rPr>
        <w:t>sans possibilité d’amélioration</w:t>
      </w:r>
      <w:r w:rsidRPr="00125E6A">
        <w:rPr>
          <w:bCs/>
        </w:rPr>
        <w:t>, l’accès à l’AMM devrait se traduire par un droit</w:t>
      </w:r>
      <w:r>
        <w:rPr>
          <w:bCs/>
        </w:rPr>
        <w:t xml:space="preserve"> pour toutes </w:t>
      </w:r>
      <w:r w:rsidR="009700E5">
        <w:rPr>
          <w:bCs/>
        </w:rPr>
        <w:t xml:space="preserve">les </w:t>
      </w:r>
      <w:r w:rsidR="004F2C3A">
        <w:rPr>
          <w:bCs/>
        </w:rPr>
        <w:t>personnes dans cette situation</w:t>
      </w:r>
      <w:r w:rsidRPr="00125E6A">
        <w:rPr>
          <w:bCs/>
        </w:rPr>
        <w:t>.</w:t>
      </w:r>
      <w:r w:rsidR="004F2C3A">
        <w:rPr>
          <w:bCs/>
        </w:rPr>
        <w:t xml:space="preserve"> </w:t>
      </w:r>
    </w:p>
    <w:p w14:paraId="4D0FC550" w14:textId="77777777" w:rsidR="00A12914" w:rsidRDefault="00A12914" w:rsidP="00904896">
      <w:pPr>
        <w:jc w:val="both"/>
        <w:rPr>
          <w:bCs/>
        </w:rPr>
      </w:pPr>
    </w:p>
    <w:p w14:paraId="16D2AF50" w14:textId="541ABB2C" w:rsidR="009F3A6B" w:rsidRDefault="00E16AB5" w:rsidP="00904896">
      <w:pPr>
        <w:jc w:val="both"/>
        <w:rPr>
          <w:bCs/>
        </w:rPr>
      </w:pPr>
      <w:r>
        <w:rPr>
          <w:bCs/>
        </w:rPr>
        <w:t xml:space="preserve">L’AQRIPH croit </w:t>
      </w:r>
      <w:r w:rsidR="007E5534">
        <w:rPr>
          <w:bCs/>
        </w:rPr>
        <w:t>ainsi</w:t>
      </w:r>
      <w:r w:rsidR="00234F2B">
        <w:rPr>
          <w:bCs/>
        </w:rPr>
        <w:t xml:space="preserve">, dans le cas des personnes qui ne sont pas en fin de vie, </w:t>
      </w:r>
      <w:r>
        <w:rPr>
          <w:bCs/>
        </w:rPr>
        <w:t>qu’il est judicieux de ne pas limiter cette possibilité</w:t>
      </w:r>
      <w:r w:rsidR="00D2531A">
        <w:rPr>
          <w:bCs/>
        </w:rPr>
        <w:t xml:space="preserve"> </w:t>
      </w:r>
      <w:r w:rsidR="00927C5B">
        <w:rPr>
          <w:bCs/>
        </w:rPr>
        <w:t xml:space="preserve">qu’à celles </w:t>
      </w:r>
      <w:r w:rsidR="0027638A">
        <w:rPr>
          <w:bCs/>
        </w:rPr>
        <w:t xml:space="preserve">d’entre elles qui ont </w:t>
      </w:r>
      <w:r w:rsidR="000D7434">
        <w:rPr>
          <w:bCs/>
        </w:rPr>
        <w:t xml:space="preserve">un </w:t>
      </w:r>
      <w:r w:rsidR="00927C5B">
        <w:rPr>
          <w:bCs/>
        </w:rPr>
        <w:t>« </w:t>
      </w:r>
      <w:r w:rsidR="000D7434">
        <w:rPr>
          <w:bCs/>
        </w:rPr>
        <w:t>handicap neuromoteur</w:t>
      </w:r>
      <w:r w:rsidR="00927C5B">
        <w:rPr>
          <w:bCs/>
        </w:rPr>
        <w:t xml:space="preserve"> ». </w:t>
      </w:r>
    </w:p>
    <w:p w14:paraId="4BABA136" w14:textId="77777777" w:rsidR="00A12914" w:rsidRDefault="00A12914" w:rsidP="0066633D">
      <w:pPr>
        <w:spacing w:line="240" w:lineRule="auto"/>
        <w:jc w:val="both"/>
        <w:rPr>
          <w:bCs/>
        </w:rPr>
      </w:pPr>
    </w:p>
    <w:p w14:paraId="3A117E71" w14:textId="14B7B195" w:rsidR="0066633D" w:rsidRDefault="0027638A" w:rsidP="0066633D">
      <w:pPr>
        <w:spacing w:line="240" w:lineRule="auto"/>
        <w:jc w:val="both"/>
        <w:rPr>
          <w:bCs/>
        </w:rPr>
      </w:pPr>
      <w:r>
        <w:rPr>
          <w:bCs/>
        </w:rPr>
        <w:t xml:space="preserve">Par ailleurs, </w:t>
      </w:r>
      <w:r w:rsidR="00C0457A">
        <w:rPr>
          <w:bCs/>
        </w:rPr>
        <w:t>en fonction du principe du droit à l’égalité prévu dans les chartes canadienne et québécoise des droits et libertés</w:t>
      </w:r>
      <w:r w:rsidR="00773BCB">
        <w:rPr>
          <w:bCs/>
        </w:rPr>
        <w:t xml:space="preserve">, l’AQRIPH </w:t>
      </w:r>
      <w:r w:rsidR="00917D69">
        <w:rPr>
          <w:bCs/>
        </w:rPr>
        <w:t>souligne l’important enjeu du sort des personnes mineures ou inaptes</w:t>
      </w:r>
      <w:r w:rsidR="00716285">
        <w:rPr>
          <w:bCs/>
        </w:rPr>
        <w:t xml:space="preserve"> qui ne peuvent consentir à </w:t>
      </w:r>
      <w:r w:rsidR="00716285">
        <w:rPr>
          <w:bCs/>
        </w:rPr>
        <w:lastRenderedPageBreak/>
        <w:t>l’AMM.</w:t>
      </w:r>
      <w:r w:rsidR="00917D69">
        <w:rPr>
          <w:bCs/>
        </w:rPr>
        <w:t xml:space="preserve"> </w:t>
      </w:r>
      <w:r w:rsidR="00716285">
        <w:rPr>
          <w:bCs/>
        </w:rPr>
        <w:t>I</w:t>
      </w:r>
      <w:r w:rsidR="00FC6335">
        <w:rPr>
          <w:bCs/>
        </w:rPr>
        <w:t>l était sage de ne pas inclure</w:t>
      </w:r>
      <w:r w:rsidR="00E829B9">
        <w:rPr>
          <w:bCs/>
        </w:rPr>
        <w:t xml:space="preserve"> </w:t>
      </w:r>
      <w:r w:rsidR="00716285">
        <w:rPr>
          <w:bCs/>
        </w:rPr>
        <w:t>c</w:t>
      </w:r>
      <w:r w:rsidR="00E829B9">
        <w:rPr>
          <w:bCs/>
        </w:rPr>
        <w:t xml:space="preserve">es personnes </w:t>
      </w:r>
      <w:r w:rsidR="00716285">
        <w:rPr>
          <w:bCs/>
        </w:rPr>
        <w:t>dans le p</w:t>
      </w:r>
      <w:r w:rsidR="00BC3920">
        <w:rPr>
          <w:bCs/>
        </w:rPr>
        <w:t>rojet de loi sous étude actuellement,</w:t>
      </w:r>
      <w:r w:rsidR="00E829B9">
        <w:rPr>
          <w:bCs/>
        </w:rPr>
        <w:t xml:space="preserve"> </w:t>
      </w:r>
      <w:r w:rsidR="00501E6C">
        <w:rPr>
          <w:bCs/>
        </w:rPr>
        <w:t xml:space="preserve">mais il faut que notre société se préoccupe des souffrances </w:t>
      </w:r>
      <w:r w:rsidR="00E61CBF">
        <w:rPr>
          <w:bCs/>
        </w:rPr>
        <w:t>que pourraient subir</w:t>
      </w:r>
      <w:r w:rsidR="00501E6C">
        <w:rPr>
          <w:bCs/>
        </w:rPr>
        <w:t xml:space="preserve"> ces personnes.</w:t>
      </w:r>
      <w:r w:rsidR="00181694">
        <w:rPr>
          <w:bCs/>
        </w:rPr>
        <w:t xml:space="preserve"> Présentement</w:t>
      </w:r>
      <w:r w:rsidR="0078440F">
        <w:rPr>
          <w:bCs/>
        </w:rPr>
        <w:t>,</w:t>
      </w:r>
      <w:r w:rsidR="00181694">
        <w:rPr>
          <w:bCs/>
        </w:rPr>
        <w:t xml:space="preserve"> </w:t>
      </w:r>
      <w:r w:rsidR="00120AC9">
        <w:rPr>
          <w:bCs/>
        </w:rPr>
        <w:t xml:space="preserve">mis à part l’AMM, l’accès </w:t>
      </w:r>
      <w:r w:rsidR="00B33243">
        <w:rPr>
          <w:bCs/>
        </w:rPr>
        <w:t>à tous les</w:t>
      </w:r>
      <w:r w:rsidR="00120AC9">
        <w:rPr>
          <w:bCs/>
        </w:rPr>
        <w:t xml:space="preserve"> soins est possible par consentement substitué. </w:t>
      </w:r>
      <w:r w:rsidR="0067768E">
        <w:rPr>
          <w:bCs/>
        </w:rPr>
        <w:t>Mais</w:t>
      </w:r>
      <w:r w:rsidR="00CE77AB">
        <w:rPr>
          <w:bCs/>
        </w:rPr>
        <w:t xml:space="preserve"> </w:t>
      </w:r>
      <w:r w:rsidR="0078440F">
        <w:rPr>
          <w:bCs/>
        </w:rPr>
        <w:t>c</w:t>
      </w:r>
      <w:r w:rsidR="00484800">
        <w:rPr>
          <w:bCs/>
        </w:rPr>
        <w:t xml:space="preserve">e droit universel à l’égalité n’existe pas pour l’AMM. </w:t>
      </w:r>
      <w:r w:rsidR="00280340">
        <w:rPr>
          <w:bCs/>
        </w:rPr>
        <w:t xml:space="preserve">L’AMM </w:t>
      </w:r>
      <w:r w:rsidR="00694EE4">
        <w:rPr>
          <w:bCs/>
        </w:rPr>
        <w:t xml:space="preserve">n’est pas accessible pour </w:t>
      </w:r>
      <w:r w:rsidR="00BC3920">
        <w:rPr>
          <w:bCs/>
        </w:rPr>
        <w:t>l</w:t>
      </w:r>
      <w:r w:rsidR="00694EE4">
        <w:rPr>
          <w:bCs/>
        </w:rPr>
        <w:t xml:space="preserve">es personnes </w:t>
      </w:r>
      <w:r w:rsidR="00BC3920">
        <w:rPr>
          <w:bCs/>
        </w:rPr>
        <w:t xml:space="preserve">mineurs ou inaptes </w:t>
      </w:r>
      <w:r w:rsidR="00E26720">
        <w:rPr>
          <w:bCs/>
        </w:rPr>
        <w:t>afin de l</w:t>
      </w:r>
      <w:r w:rsidR="00314AE7">
        <w:rPr>
          <w:bCs/>
        </w:rPr>
        <w:t>es</w:t>
      </w:r>
      <w:r w:rsidR="00E26720">
        <w:rPr>
          <w:bCs/>
        </w:rPr>
        <w:t xml:space="preserve"> protéger </w:t>
      </w:r>
      <w:r w:rsidR="0066633D">
        <w:rPr>
          <w:bCs/>
        </w:rPr>
        <w:t xml:space="preserve">en raison </w:t>
      </w:r>
      <w:r w:rsidR="0066633D" w:rsidRPr="00825025">
        <w:rPr>
          <w:bCs/>
        </w:rPr>
        <w:t xml:space="preserve">de </w:t>
      </w:r>
      <w:r w:rsidR="00314AE7">
        <w:rPr>
          <w:bCs/>
        </w:rPr>
        <w:t>leur</w:t>
      </w:r>
      <w:r w:rsidR="0066633D" w:rsidRPr="00825025">
        <w:rPr>
          <w:bCs/>
        </w:rPr>
        <w:t xml:space="preserve"> vulnérabilité</w:t>
      </w:r>
      <w:r w:rsidR="00D04290">
        <w:rPr>
          <w:bCs/>
        </w:rPr>
        <w:t>.</w:t>
      </w:r>
      <w:r w:rsidR="00694EE4">
        <w:rPr>
          <w:bCs/>
        </w:rPr>
        <w:t xml:space="preserve"> D’un autre côté,</w:t>
      </w:r>
      <w:r w:rsidR="0066633D" w:rsidRPr="00825025">
        <w:rPr>
          <w:bCs/>
        </w:rPr>
        <w:t xml:space="preserve"> on l</w:t>
      </w:r>
      <w:r w:rsidR="00314AE7">
        <w:rPr>
          <w:bCs/>
        </w:rPr>
        <w:t>es</w:t>
      </w:r>
      <w:r w:rsidR="0066633D" w:rsidRPr="00825025">
        <w:rPr>
          <w:bCs/>
        </w:rPr>
        <w:t xml:space="preserve"> condamne à subir des souffrances insupportables</w:t>
      </w:r>
      <w:r w:rsidR="0066633D">
        <w:rPr>
          <w:bCs/>
        </w:rPr>
        <w:t xml:space="preserve"> qui ne peuvent être apaisées</w:t>
      </w:r>
      <w:r w:rsidR="0066633D" w:rsidRPr="00825025">
        <w:rPr>
          <w:bCs/>
        </w:rPr>
        <w:t xml:space="preserve">. Il y a là un dilemme entre protéger la personne en raison de sa vulnérabilité et la </w:t>
      </w:r>
      <w:r w:rsidR="0066633D">
        <w:rPr>
          <w:bCs/>
        </w:rPr>
        <w:t xml:space="preserve">possibilité de </w:t>
      </w:r>
      <w:r w:rsidR="00C848F3">
        <w:rPr>
          <w:bCs/>
        </w:rPr>
        <w:t xml:space="preserve">lui </w:t>
      </w:r>
      <w:r w:rsidR="0066633D">
        <w:rPr>
          <w:bCs/>
        </w:rPr>
        <w:t xml:space="preserve">donner accès à l’AMM pour </w:t>
      </w:r>
      <w:r w:rsidR="0066633D" w:rsidRPr="00825025">
        <w:rPr>
          <w:bCs/>
        </w:rPr>
        <w:t>soulager ses souffrances.</w:t>
      </w:r>
    </w:p>
    <w:p w14:paraId="4258C2FB" w14:textId="77777777" w:rsidR="007533E3" w:rsidRDefault="007533E3" w:rsidP="0066633D">
      <w:pPr>
        <w:spacing w:line="240" w:lineRule="auto"/>
        <w:jc w:val="both"/>
        <w:rPr>
          <w:bCs/>
        </w:rPr>
      </w:pPr>
    </w:p>
    <w:p w14:paraId="1341BC80" w14:textId="6DD83EE4" w:rsidR="00966B38" w:rsidRDefault="00694EE4" w:rsidP="0066633D">
      <w:pPr>
        <w:spacing w:line="240" w:lineRule="auto"/>
        <w:jc w:val="both"/>
        <w:rPr>
          <w:bCs/>
        </w:rPr>
      </w:pPr>
      <w:r>
        <w:rPr>
          <w:bCs/>
        </w:rPr>
        <w:t xml:space="preserve">Parce que notre société n’a pas actuellement la solution </w:t>
      </w:r>
      <w:r w:rsidR="004D3D57">
        <w:rPr>
          <w:bCs/>
        </w:rPr>
        <w:t xml:space="preserve">pour les personnes mineures et inaptes et pour éviter que </w:t>
      </w:r>
      <w:r w:rsidR="000F370C">
        <w:rPr>
          <w:bCs/>
        </w:rPr>
        <w:t xml:space="preserve">ce soit </w:t>
      </w:r>
      <w:r w:rsidR="004D3D57">
        <w:rPr>
          <w:bCs/>
        </w:rPr>
        <w:t xml:space="preserve">les tribunaux </w:t>
      </w:r>
      <w:r w:rsidR="000F370C">
        <w:rPr>
          <w:bCs/>
        </w:rPr>
        <w:t xml:space="preserve">qui </w:t>
      </w:r>
      <w:r w:rsidR="004D3D57">
        <w:rPr>
          <w:bCs/>
        </w:rPr>
        <w:t>se prononcent</w:t>
      </w:r>
      <w:r w:rsidR="007533E3">
        <w:rPr>
          <w:bCs/>
        </w:rPr>
        <w:t>, l’AQRIPH</w:t>
      </w:r>
      <w:r w:rsidR="00907E1F">
        <w:rPr>
          <w:bCs/>
        </w:rPr>
        <w:t xml:space="preserve"> demande </w:t>
      </w:r>
      <w:r w:rsidR="000F370C">
        <w:rPr>
          <w:bCs/>
        </w:rPr>
        <w:t xml:space="preserve">à la ministre Sonia Bélanger, </w:t>
      </w:r>
      <w:r w:rsidR="00B21AC4">
        <w:rPr>
          <w:bCs/>
        </w:rPr>
        <w:t>de créer un groupe de réflexion multidisciplinaire</w:t>
      </w:r>
      <w:r w:rsidR="00D2117F">
        <w:rPr>
          <w:bCs/>
        </w:rPr>
        <w:t>, a</w:t>
      </w:r>
      <w:r w:rsidR="00D01B05">
        <w:rPr>
          <w:bCs/>
        </w:rPr>
        <w:t>vec des expertises variées</w:t>
      </w:r>
      <w:r w:rsidR="00D2117F">
        <w:rPr>
          <w:bCs/>
        </w:rPr>
        <w:t xml:space="preserve">, </w:t>
      </w:r>
      <w:r w:rsidR="00BF4ECF">
        <w:rPr>
          <w:bCs/>
        </w:rPr>
        <w:t xml:space="preserve">pour </w:t>
      </w:r>
      <w:r w:rsidR="00966B38" w:rsidRPr="00966B38">
        <w:rPr>
          <w:bCs/>
        </w:rPr>
        <w:t>faire avancer la réflexion sur l’accès à l’AMM pour les personnes qui n’ont pas la capacité à consentir aux soins et qui subissent des souffrances constantes et insupportables qui ne peuvent être apaisées.</w:t>
      </w:r>
    </w:p>
    <w:p w14:paraId="4D0C788C" w14:textId="77777777" w:rsidR="00CD6318" w:rsidRDefault="00CD6318" w:rsidP="0066633D">
      <w:pPr>
        <w:spacing w:line="240" w:lineRule="auto"/>
        <w:jc w:val="both"/>
        <w:rPr>
          <w:bCs/>
        </w:rPr>
      </w:pPr>
    </w:p>
    <w:p w14:paraId="3AAA39E7" w14:textId="4F9EA640" w:rsidR="00CD6318" w:rsidRDefault="00E5328A" w:rsidP="0066633D">
      <w:pPr>
        <w:spacing w:line="240" w:lineRule="auto"/>
        <w:jc w:val="both"/>
        <w:rPr>
          <w:bCs/>
        </w:rPr>
      </w:pPr>
      <w:r>
        <w:rPr>
          <w:bCs/>
        </w:rPr>
        <w:t xml:space="preserve">Enfin, </w:t>
      </w:r>
      <w:r w:rsidR="005E1C07">
        <w:rPr>
          <w:bCs/>
        </w:rPr>
        <w:t xml:space="preserve">l’AQRIPH </w:t>
      </w:r>
      <w:r w:rsidR="00610A98">
        <w:rPr>
          <w:bCs/>
        </w:rPr>
        <w:t xml:space="preserve">est d’avis que le personnel du réseau de la santé et des services sociaux doit être mieux préparé pour accompagner les personnes et leurs proches </w:t>
      </w:r>
      <w:r w:rsidR="00F92814">
        <w:rPr>
          <w:bCs/>
        </w:rPr>
        <w:t>au regard de l’AMM</w:t>
      </w:r>
      <w:r w:rsidR="007F6CD7">
        <w:rPr>
          <w:bCs/>
        </w:rPr>
        <w:t>.</w:t>
      </w:r>
    </w:p>
    <w:p w14:paraId="1AEC0920" w14:textId="77777777" w:rsidR="00966B38" w:rsidRDefault="00966B38" w:rsidP="0066633D">
      <w:pPr>
        <w:spacing w:line="240" w:lineRule="auto"/>
        <w:jc w:val="both"/>
        <w:rPr>
          <w:bCs/>
        </w:rPr>
      </w:pPr>
    </w:p>
    <w:p w14:paraId="23F7A0E5" w14:textId="1653A47E" w:rsidR="005D3710" w:rsidRDefault="00B21AC4" w:rsidP="007F6CD7">
      <w:pPr>
        <w:spacing w:line="240" w:lineRule="auto"/>
        <w:jc w:val="both"/>
      </w:pPr>
      <w:r>
        <w:rPr>
          <w:bCs/>
        </w:rPr>
        <w:t xml:space="preserve"> </w:t>
      </w:r>
    </w:p>
    <w:p w14:paraId="137A8943" w14:textId="4174E316" w:rsidR="00357D64" w:rsidRPr="00357D64" w:rsidRDefault="00357D64" w:rsidP="00904896">
      <w:pPr>
        <w:jc w:val="both"/>
        <w:rPr>
          <w:b/>
          <w:bCs/>
        </w:rPr>
      </w:pPr>
      <w:r w:rsidRPr="00357D64">
        <w:rPr>
          <w:b/>
          <w:bCs/>
        </w:rPr>
        <w:t>Citations</w:t>
      </w:r>
    </w:p>
    <w:p w14:paraId="73E48AFA" w14:textId="77777777" w:rsidR="00416537" w:rsidRDefault="00416537" w:rsidP="00904896">
      <w:pPr>
        <w:jc w:val="both"/>
      </w:pPr>
    </w:p>
    <w:p w14:paraId="637C86D1" w14:textId="08C928B5" w:rsidR="008967F7" w:rsidRDefault="003F2552" w:rsidP="003F2552">
      <w:pPr>
        <w:spacing w:line="240" w:lineRule="auto"/>
        <w:jc w:val="both"/>
        <w:rPr>
          <w:bCs/>
        </w:rPr>
      </w:pPr>
      <w:r>
        <w:rPr>
          <w:bCs/>
        </w:rPr>
        <w:t>« </w:t>
      </w:r>
      <w:r w:rsidRPr="00AE4CE7">
        <w:rPr>
          <w:bCs/>
        </w:rPr>
        <w:t>Il est important que dans l</w:t>
      </w:r>
      <w:r w:rsidR="00994450">
        <w:rPr>
          <w:bCs/>
        </w:rPr>
        <w:t xml:space="preserve">a </w:t>
      </w:r>
      <w:r w:rsidRPr="00AE4CE7">
        <w:rPr>
          <w:bCs/>
        </w:rPr>
        <w:t>formation</w:t>
      </w:r>
      <w:r w:rsidR="00994450">
        <w:rPr>
          <w:bCs/>
        </w:rPr>
        <w:t xml:space="preserve"> des intervenants</w:t>
      </w:r>
      <w:r w:rsidRPr="00AE4CE7">
        <w:rPr>
          <w:bCs/>
        </w:rPr>
        <w:t xml:space="preserve">, les aspects liés à l’information adéquate et au libre choix </w:t>
      </w:r>
      <w:r w:rsidR="00B263EA">
        <w:rPr>
          <w:bCs/>
        </w:rPr>
        <w:t>soient</w:t>
      </w:r>
      <w:r w:rsidRPr="00AE4CE7">
        <w:rPr>
          <w:bCs/>
        </w:rPr>
        <w:t xml:space="preserve"> maîtrisés par les professionnels concernant le soin de l’AMM pour éviter </w:t>
      </w:r>
      <w:r w:rsidR="00994450">
        <w:rPr>
          <w:bCs/>
        </w:rPr>
        <w:t>toute</w:t>
      </w:r>
      <w:r w:rsidRPr="00AE4CE7">
        <w:rPr>
          <w:bCs/>
        </w:rPr>
        <w:t xml:space="preserve"> dérive. Jamais des personnes handicapées ne doivent être incitées à demander l’AMM, cet acte relève du respect du libre choix de la personne.</w:t>
      </w:r>
      <w:r w:rsidR="00FC436A">
        <w:rPr>
          <w:bCs/>
        </w:rPr>
        <w:t xml:space="preserve"> </w:t>
      </w:r>
    </w:p>
    <w:p w14:paraId="11C33DEB" w14:textId="77777777" w:rsidR="008967F7" w:rsidRDefault="008967F7" w:rsidP="003F2552">
      <w:pPr>
        <w:spacing w:line="240" w:lineRule="auto"/>
        <w:jc w:val="both"/>
        <w:rPr>
          <w:bCs/>
        </w:rPr>
      </w:pPr>
    </w:p>
    <w:p w14:paraId="65954EA1" w14:textId="295F3631" w:rsidR="003F2552" w:rsidRPr="00AE4CE7" w:rsidRDefault="00FC436A" w:rsidP="003F2552">
      <w:pPr>
        <w:spacing w:line="240" w:lineRule="auto"/>
        <w:jc w:val="both"/>
        <w:rPr>
          <w:bCs/>
        </w:rPr>
      </w:pPr>
      <w:r>
        <w:rPr>
          <w:bCs/>
        </w:rPr>
        <w:t>Aussi</w:t>
      </w:r>
      <w:r w:rsidR="008967F7">
        <w:rPr>
          <w:bCs/>
        </w:rPr>
        <w:t xml:space="preserve">, il faut que le gouvernement prévoie </w:t>
      </w:r>
      <w:r w:rsidR="008967F7" w:rsidRPr="008967F7">
        <w:rPr>
          <w:bCs/>
        </w:rPr>
        <w:t>les investissements nécessaires pour faire en sorte que le réseau de la santé et des services sociaux soit en mesure d’offrir</w:t>
      </w:r>
      <w:r w:rsidR="004C343E">
        <w:rPr>
          <w:bCs/>
        </w:rPr>
        <w:t xml:space="preserve"> </w:t>
      </w:r>
      <w:r w:rsidR="008967F7" w:rsidRPr="008967F7">
        <w:rPr>
          <w:bCs/>
        </w:rPr>
        <w:t>un soutien adéquat aux familles et autres proches d’une personne handicapée susceptible de faire une demande d’AMM.</w:t>
      </w:r>
      <w:r w:rsidR="008967F7">
        <w:rPr>
          <w:bCs/>
        </w:rPr>
        <w:t> »</w:t>
      </w:r>
    </w:p>
    <w:p w14:paraId="1F23580C" w14:textId="29F584F3" w:rsidR="0034493B" w:rsidRDefault="0034493B" w:rsidP="00904896">
      <w:pPr>
        <w:jc w:val="both"/>
      </w:pPr>
    </w:p>
    <w:p w14:paraId="7B7010B4" w14:textId="77777777" w:rsidR="005C41DF" w:rsidRDefault="005C41DF" w:rsidP="00904896">
      <w:pPr>
        <w:jc w:val="both"/>
        <w:rPr>
          <w:i/>
          <w:iCs/>
        </w:rPr>
      </w:pPr>
    </w:p>
    <w:p w14:paraId="4AFA27C8" w14:textId="5DD41662" w:rsidR="0034493B" w:rsidRDefault="00546957" w:rsidP="00904896">
      <w:pPr>
        <w:jc w:val="both"/>
        <w:rPr>
          <w:i/>
          <w:iCs/>
        </w:rPr>
      </w:pPr>
      <w:r>
        <w:rPr>
          <w:i/>
          <w:iCs/>
        </w:rPr>
        <w:t xml:space="preserve">Source : </w:t>
      </w:r>
      <w:r w:rsidR="00EA3CC7">
        <w:rPr>
          <w:i/>
          <w:iCs/>
        </w:rPr>
        <w:t xml:space="preserve">Isabelle Tremblay, </w:t>
      </w:r>
      <w:r w:rsidR="005C41DF">
        <w:rPr>
          <w:i/>
          <w:iCs/>
        </w:rPr>
        <w:t>Directrice</w:t>
      </w:r>
      <w:r w:rsidR="00EA3CC7">
        <w:rPr>
          <w:i/>
          <w:iCs/>
        </w:rPr>
        <w:t xml:space="preserve"> de l’AQ</w:t>
      </w:r>
      <w:r w:rsidR="003A7C21">
        <w:rPr>
          <w:i/>
          <w:iCs/>
        </w:rPr>
        <w:t>RIPH</w:t>
      </w:r>
    </w:p>
    <w:p w14:paraId="7F689295" w14:textId="52F483FD" w:rsidR="005C41DF" w:rsidRDefault="005C41DF" w:rsidP="00904896">
      <w:pPr>
        <w:jc w:val="both"/>
        <w:rPr>
          <w:i/>
          <w:iCs/>
        </w:rPr>
      </w:pPr>
      <w:r>
        <w:rPr>
          <w:i/>
          <w:iCs/>
        </w:rPr>
        <w:t>aqriph@aqriph.com</w:t>
      </w:r>
    </w:p>
    <w:p w14:paraId="2D3F35D4" w14:textId="11B25735" w:rsidR="005C41DF" w:rsidRPr="00EA3CC7" w:rsidRDefault="005C41DF" w:rsidP="00904896">
      <w:pPr>
        <w:jc w:val="both"/>
        <w:rPr>
          <w:i/>
          <w:iCs/>
        </w:rPr>
      </w:pPr>
      <w:r>
        <w:rPr>
          <w:i/>
          <w:iCs/>
        </w:rPr>
        <w:t>418.407.1664</w:t>
      </w:r>
    </w:p>
    <w:p w14:paraId="667BED7A" w14:textId="77777777" w:rsidR="009F3A6B" w:rsidRDefault="009F3A6B" w:rsidP="00904896">
      <w:pPr>
        <w:jc w:val="both"/>
      </w:pPr>
    </w:p>
    <w:p w14:paraId="614930CD" w14:textId="77777777" w:rsidR="009F3A6B" w:rsidRDefault="009F3A6B" w:rsidP="00904896">
      <w:pPr>
        <w:jc w:val="both"/>
      </w:pPr>
    </w:p>
    <w:p w14:paraId="4415011A" w14:textId="77777777" w:rsidR="005C6037" w:rsidRDefault="005C6037" w:rsidP="00CF7215">
      <w:pPr>
        <w:jc w:val="both"/>
      </w:pPr>
    </w:p>
    <w:p w14:paraId="2DC777CA" w14:textId="77777777" w:rsidR="009A3358" w:rsidRDefault="00E77FFE" w:rsidP="004239AE">
      <w:pPr>
        <w:jc w:val="center"/>
      </w:pPr>
      <w:r>
        <w:t>-30-</w:t>
      </w:r>
    </w:p>
    <w:sectPr w:rsidR="009A3358" w:rsidSect="00F05318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E0FF" w14:textId="77777777" w:rsidR="00AD6D32" w:rsidRDefault="00AD6D32" w:rsidP="00505810">
      <w:pPr>
        <w:spacing w:line="240" w:lineRule="auto"/>
      </w:pPr>
      <w:r>
        <w:separator/>
      </w:r>
    </w:p>
  </w:endnote>
  <w:endnote w:type="continuationSeparator" w:id="0">
    <w:p w14:paraId="0C44A495" w14:textId="77777777" w:rsidR="00AD6D32" w:rsidRDefault="00AD6D32" w:rsidP="00505810">
      <w:pPr>
        <w:spacing w:line="240" w:lineRule="auto"/>
      </w:pPr>
      <w:r>
        <w:continuationSeparator/>
      </w:r>
    </w:p>
  </w:endnote>
  <w:endnote w:type="continuationNotice" w:id="1">
    <w:p w14:paraId="52DDD221" w14:textId="77777777" w:rsidR="00AD6D32" w:rsidRDefault="00AD6D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87AC" w14:textId="77777777" w:rsidR="00AD6D32" w:rsidRDefault="00AD6D32" w:rsidP="00505810">
      <w:pPr>
        <w:spacing w:line="240" w:lineRule="auto"/>
      </w:pPr>
      <w:r>
        <w:separator/>
      </w:r>
    </w:p>
  </w:footnote>
  <w:footnote w:type="continuationSeparator" w:id="0">
    <w:p w14:paraId="20D72F2A" w14:textId="77777777" w:rsidR="00AD6D32" w:rsidRDefault="00AD6D32" w:rsidP="00505810">
      <w:pPr>
        <w:spacing w:line="240" w:lineRule="auto"/>
      </w:pPr>
      <w:r>
        <w:continuationSeparator/>
      </w:r>
    </w:p>
  </w:footnote>
  <w:footnote w:type="continuationNotice" w:id="1">
    <w:p w14:paraId="7EA8BA14" w14:textId="77777777" w:rsidR="00AD6D32" w:rsidRDefault="00AD6D32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9C"/>
    <w:rsid w:val="00006469"/>
    <w:rsid w:val="000110E8"/>
    <w:rsid w:val="00017847"/>
    <w:rsid w:val="00025678"/>
    <w:rsid w:val="000472E3"/>
    <w:rsid w:val="0004738B"/>
    <w:rsid w:val="000473E9"/>
    <w:rsid w:val="00055283"/>
    <w:rsid w:val="00067099"/>
    <w:rsid w:val="00080F91"/>
    <w:rsid w:val="00083915"/>
    <w:rsid w:val="000A00DD"/>
    <w:rsid w:val="000A706F"/>
    <w:rsid w:val="000B33B4"/>
    <w:rsid w:val="000C7EBC"/>
    <w:rsid w:val="000D150A"/>
    <w:rsid w:val="000D476F"/>
    <w:rsid w:val="000D4810"/>
    <w:rsid w:val="000D4A95"/>
    <w:rsid w:val="000D7434"/>
    <w:rsid w:val="000E29F5"/>
    <w:rsid w:val="000E3C44"/>
    <w:rsid w:val="000F370C"/>
    <w:rsid w:val="00120AC9"/>
    <w:rsid w:val="00121586"/>
    <w:rsid w:val="00131A30"/>
    <w:rsid w:val="00137D1D"/>
    <w:rsid w:val="00147FC1"/>
    <w:rsid w:val="001540FB"/>
    <w:rsid w:val="00161F6D"/>
    <w:rsid w:val="00181694"/>
    <w:rsid w:val="00193CCA"/>
    <w:rsid w:val="001966C2"/>
    <w:rsid w:val="001A1EDC"/>
    <w:rsid w:val="001B46FE"/>
    <w:rsid w:val="001B4D63"/>
    <w:rsid w:val="001D0B8D"/>
    <w:rsid w:val="001E3FF5"/>
    <w:rsid w:val="001F4162"/>
    <w:rsid w:val="00202ED9"/>
    <w:rsid w:val="00206139"/>
    <w:rsid w:val="00234F2B"/>
    <w:rsid w:val="00240E9D"/>
    <w:rsid w:val="00244E01"/>
    <w:rsid w:val="00245CD3"/>
    <w:rsid w:val="0025213A"/>
    <w:rsid w:val="00261057"/>
    <w:rsid w:val="00266BB0"/>
    <w:rsid w:val="00274E1A"/>
    <w:rsid w:val="00275E20"/>
    <w:rsid w:val="0027638A"/>
    <w:rsid w:val="00280340"/>
    <w:rsid w:val="002864BD"/>
    <w:rsid w:val="0029538D"/>
    <w:rsid w:val="002A6308"/>
    <w:rsid w:val="002B2A33"/>
    <w:rsid w:val="002B3E22"/>
    <w:rsid w:val="002B4937"/>
    <w:rsid w:val="002B6312"/>
    <w:rsid w:val="002C3259"/>
    <w:rsid w:val="002D03EF"/>
    <w:rsid w:val="002D3FD0"/>
    <w:rsid w:val="002F1585"/>
    <w:rsid w:val="00314AE7"/>
    <w:rsid w:val="003352B7"/>
    <w:rsid w:val="003422FA"/>
    <w:rsid w:val="0034493B"/>
    <w:rsid w:val="003508B2"/>
    <w:rsid w:val="00353C89"/>
    <w:rsid w:val="00357D64"/>
    <w:rsid w:val="00370610"/>
    <w:rsid w:val="003818CA"/>
    <w:rsid w:val="003A0F12"/>
    <w:rsid w:val="003A5A5C"/>
    <w:rsid w:val="003A7C21"/>
    <w:rsid w:val="003B2DC5"/>
    <w:rsid w:val="003C0443"/>
    <w:rsid w:val="003C1C43"/>
    <w:rsid w:val="003C52AF"/>
    <w:rsid w:val="003C5CAD"/>
    <w:rsid w:val="003D0892"/>
    <w:rsid w:val="003E1C17"/>
    <w:rsid w:val="003E1FB8"/>
    <w:rsid w:val="003F2552"/>
    <w:rsid w:val="003F3D28"/>
    <w:rsid w:val="003F4686"/>
    <w:rsid w:val="004026F4"/>
    <w:rsid w:val="00402CC8"/>
    <w:rsid w:val="004077D2"/>
    <w:rsid w:val="00416537"/>
    <w:rsid w:val="00417A5F"/>
    <w:rsid w:val="0042003A"/>
    <w:rsid w:val="004239AE"/>
    <w:rsid w:val="004244EF"/>
    <w:rsid w:val="004478DF"/>
    <w:rsid w:val="004550AF"/>
    <w:rsid w:val="0046313B"/>
    <w:rsid w:val="00466AF2"/>
    <w:rsid w:val="00484800"/>
    <w:rsid w:val="004864B0"/>
    <w:rsid w:val="00490880"/>
    <w:rsid w:val="004A10DC"/>
    <w:rsid w:val="004B41E4"/>
    <w:rsid w:val="004B7492"/>
    <w:rsid w:val="004C343E"/>
    <w:rsid w:val="004C3BEC"/>
    <w:rsid w:val="004C6EB5"/>
    <w:rsid w:val="004D37BA"/>
    <w:rsid w:val="004D3D57"/>
    <w:rsid w:val="004E038C"/>
    <w:rsid w:val="004F268A"/>
    <w:rsid w:val="004F2C3A"/>
    <w:rsid w:val="00501E6C"/>
    <w:rsid w:val="00505810"/>
    <w:rsid w:val="00515011"/>
    <w:rsid w:val="005406C6"/>
    <w:rsid w:val="00546957"/>
    <w:rsid w:val="005574B8"/>
    <w:rsid w:val="005678EF"/>
    <w:rsid w:val="00576264"/>
    <w:rsid w:val="00596DDC"/>
    <w:rsid w:val="005A208F"/>
    <w:rsid w:val="005B3F93"/>
    <w:rsid w:val="005B4C4C"/>
    <w:rsid w:val="005B7949"/>
    <w:rsid w:val="005C17F2"/>
    <w:rsid w:val="005C1EE7"/>
    <w:rsid w:val="005C2353"/>
    <w:rsid w:val="005C41DF"/>
    <w:rsid w:val="005C6037"/>
    <w:rsid w:val="005D3710"/>
    <w:rsid w:val="005E1C07"/>
    <w:rsid w:val="005F064A"/>
    <w:rsid w:val="005F18A1"/>
    <w:rsid w:val="006103D0"/>
    <w:rsid w:val="00610A98"/>
    <w:rsid w:val="00612A25"/>
    <w:rsid w:val="0061620C"/>
    <w:rsid w:val="00616F18"/>
    <w:rsid w:val="00627E17"/>
    <w:rsid w:val="00630E76"/>
    <w:rsid w:val="00632255"/>
    <w:rsid w:val="00634CBF"/>
    <w:rsid w:val="00646DCC"/>
    <w:rsid w:val="00655C5B"/>
    <w:rsid w:val="00662163"/>
    <w:rsid w:val="0066633D"/>
    <w:rsid w:val="006746FA"/>
    <w:rsid w:val="0067768E"/>
    <w:rsid w:val="006814B5"/>
    <w:rsid w:val="0068725E"/>
    <w:rsid w:val="00693E60"/>
    <w:rsid w:val="00694EE4"/>
    <w:rsid w:val="00697773"/>
    <w:rsid w:val="006A6595"/>
    <w:rsid w:val="006B5BF6"/>
    <w:rsid w:val="006B7655"/>
    <w:rsid w:val="006D16C6"/>
    <w:rsid w:val="006D7AB2"/>
    <w:rsid w:val="006E468A"/>
    <w:rsid w:val="006F0E8B"/>
    <w:rsid w:val="006F49C9"/>
    <w:rsid w:val="006F7A85"/>
    <w:rsid w:val="007020F9"/>
    <w:rsid w:val="00712910"/>
    <w:rsid w:val="00716285"/>
    <w:rsid w:val="0073629C"/>
    <w:rsid w:val="00737290"/>
    <w:rsid w:val="007448ED"/>
    <w:rsid w:val="007533E3"/>
    <w:rsid w:val="00763DE4"/>
    <w:rsid w:val="00766881"/>
    <w:rsid w:val="00772302"/>
    <w:rsid w:val="00773BCB"/>
    <w:rsid w:val="00773FEB"/>
    <w:rsid w:val="00774CCB"/>
    <w:rsid w:val="0078270B"/>
    <w:rsid w:val="0078440F"/>
    <w:rsid w:val="00786D40"/>
    <w:rsid w:val="007C6209"/>
    <w:rsid w:val="007D1E05"/>
    <w:rsid w:val="007D2854"/>
    <w:rsid w:val="007D381F"/>
    <w:rsid w:val="007D4E54"/>
    <w:rsid w:val="007E30F2"/>
    <w:rsid w:val="007E4108"/>
    <w:rsid w:val="007E5534"/>
    <w:rsid w:val="007F5407"/>
    <w:rsid w:val="007F6C37"/>
    <w:rsid w:val="007F6CD7"/>
    <w:rsid w:val="007F7608"/>
    <w:rsid w:val="0081018E"/>
    <w:rsid w:val="00815564"/>
    <w:rsid w:val="008448FD"/>
    <w:rsid w:val="00853CCB"/>
    <w:rsid w:val="00855833"/>
    <w:rsid w:val="008650AD"/>
    <w:rsid w:val="00866A1C"/>
    <w:rsid w:val="00871D88"/>
    <w:rsid w:val="00877F98"/>
    <w:rsid w:val="008914F6"/>
    <w:rsid w:val="00894E6E"/>
    <w:rsid w:val="008967F7"/>
    <w:rsid w:val="008B382A"/>
    <w:rsid w:val="008C00D7"/>
    <w:rsid w:val="008C22F7"/>
    <w:rsid w:val="008E4293"/>
    <w:rsid w:val="008E74A2"/>
    <w:rsid w:val="008F4210"/>
    <w:rsid w:val="008F55F9"/>
    <w:rsid w:val="009023CC"/>
    <w:rsid w:val="00904896"/>
    <w:rsid w:val="00906568"/>
    <w:rsid w:val="00907E1F"/>
    <w:rsid w:val="00912D60"/>
    <w:rsid w:val="00917D69"/>
    <w:rsid w:val="00923937"/>
    <w:rsid w:val="00927C5B"/>
    <w:rsid w:val="009511D6"/>
    <w:rsid w:val="00966B38"/>
    <w:rsid w:val="009700E5"/>
    <w:rsid w:val="0097023A"/>
    <w:rsid w:val="009755C4"/>
    <w:rsid w:val="00984A4D"/>
    <w:rsid w:val="0099219C"/>
    <w:rsid w:val="00994450"/>
    <w:rsid w:val="00995267"/>
    <w:rsid w:val="009A1A2C"/>
    <w:rsid w:val="009A2FCE"/>
    <w:rsid w:val="009A3358"/>
    <w:rsid w:val="009A4347"/>
    <w:rsid w:val="009A5DFE"/>
    <w:rsid w:val="009B10E7"/>
    <w:rsid w:val="009B565B"/>
    <w:rsid w:val="009C1EE2"/>
    <w:rsid w:val="009C46D5"/>
    <w:rsid w:val="009D6BCC"/>
    <w:rsid w:val="009E2D20"/>
    <w:rsid w:val="009E5C9A"/>
    <w:rsid w:val="009F3A6B"/>
    <w:rsid w:val="009F6380"/>
    <w:rsid w:val="00A00F77"/>
    <w:rsid w:val="00A01057"/>
    <w:rsid w:val="00A01EDA"/>
    <w:rsid w:val="00A07541"/>
    <w:rsid w:val="00A111E7"/>
    <w:rsid w:val="00A12914"/>
    <w:rsid w:val="00A21945"/>
    <w:rsid w:val="00A23AE2"/>
    <w:rsid w:val="00A24CB7"/>
    <w:rsid w:val="00A4168A"/>
    <w:rsid w:val="00A50F5B"/>
    <w:rsid w:val="00A67E29"/>
    <w:rsid w:val="00A7641F"/>
    <w:rsid w:val="00A817FC"/>
    <w:rsid w:val="00A84E7D"/>
    <w:rsid w:val="00A856A8"/>
    <w:rsid w:val="00A90D4D"/>
    <w:rsid w:val="00A91E62"/>
    <w:rsid w:val="00A93439"/>
    <w:rsid w:val="00A97E9B"/>
    <w:rsid w:val="00AA7466"/>
    <w:rsid w:val="00AB4214"/>
    <w:rsid w:val="00AD6D32"/>
    <w:rsid w:val="00AE1654"/>
    <w:rsid w:val="00AE4B00"/>
    <w:rsid w:val="00B00571"/>
    <w:rsid w:val="00B03DFA"/>
    <w:rsid w:val="00B12422"/>
    <w:rsid w:val="00B16CD6"/>
    <w:rsid w:val="00B21AC4"/>
    <w:rsid w:val="00B263EA"/>
    <w:rsid w:val="00B3154C"/>
    <w:rsid w:val="00B32CF8"/>
    <w:rsid w:val="00B32D04"/>
    <w:rsid w:val="00B32DA6"/>
    <w:rsid w:val="00B33243"/>
    <w:rsid w:val="00B355A6"/>
    <w:rsid w:val="00B655D1"/>
    <w:rsid w:val="00B775C4"/>
    <w:rsid w:val="00B80EB3"/>
    <w:rsid w:val="00BA6D6C"/>
    <w:rsid w:val="00BB1AEE"/>
    <w:rsid w:val="00BB5EC3"/>
    <w:rsid w:val="00BC0F7E"/>
    <w:rsid w:val="00BC3920"/>
    <w:rsid w:val="00BD6763"/>
    <w:rsid w:val="00BF4ECF"/>
    <w:rsid w:val="00BF59E1"/>
    <w:rsid w:val="00C0457A"/>
    <w:rsid w:val="00C15FF8"/>
    <w:rsid w:val="00C20FDF"/>
    <w:rsid w:val="00C3439A"/>
    <w:rsid w:val="00C37DF1"/>
    <w:rsid w:val="00C40E6F"/>
    <w:rsid w:val="00C47DF6"/>
    <w:rsid w:val="00C55D41"/>
    <w:rsid w:val="00C6172C"/>
    <w:rsid w:val="00C65025"/>
    <w:rsid w:val="00C71150"/>
    <w:rsid w:val="00C74DF9"/>
    <w:rsid w:val="00C84379"/>
    <w:rsid w:val="00C848F3"/>
    <w:rsid w:val="00C93812"/>
    <w:rsid w:val="00CA61A1"/>
    <w:rsid w:val="00CB1550"/>
    <w:rsid w:val="00CB19EA"/>
    <w:rsid w:val="00CB6780"/>
    <w:rsid w:val="00CB7749"/>
    <w:rsid w:val="00CD6318"/>
    <w:rsid w:val="00CD6AA0"/>
    <w:rsid w:val="00CD6FA1"/>
    <w:rsid w:val="00CE77AB"/>
    <w:rsid w:val="00CF35EB"/>
    <w:rsid w:val="00CF7215"/>
    <w:rsid w:val="00D01B05"/>
    <w:rsid w:val="00D04290"/>
    <w:rsid w:val="00D068DD"/>
    <w:rsid w:val="00D111CC"/>
    <w:rsid w:val="00D11B71"/>
    <w:rsid w:val="00D129FA"/>
    <w:rsid w:val="00D13D23"/>
    <w:rsid w:val="00D2117F"/>
    <w:rsid w:val="00D2171F"/>
    <w:rsid w:val="00D234C9"/>
    <w:rsid w:val="00D23E60"/>
    <w:rsid w:val="00D2531A"/>
    <w:rsid w:val="00D31A5A"/>
    <w:rsid w:val="00D37157"/>
    <w:rsid w:val="00D430B4"/>
    <w:rsid w:val="00D44AA3"/>
    <w:rsid w:val="00D47600"/>
    <w:rsid w:val="00D544FA"/>
    <w:rsid w:val="00D55DE9"/>
    <w:rsid w:val="00D63368"/>
    <w:rsid w:val="00D65157"/>
    <w:rsid w:val="00D76CC0"/>
    <w:rsid w:val="00D773D4"/>
    <w:rsid w:val="00D7756D"/>
    <w:rsid w:val="00D7788A"/>
    <w:rsid w:val="00D8335D"/>
    <w:rsid w:val="00D91B7A"/>
    <w:rsid w:val="00D92F49"/>
    <w:rsid w:val="00D94B57"/>
    <w:rsid w:val="00DA2D6B"/>
    <w:rsid w:val="00DB491E"/>
    <w:rsid w:val="00DC70E7"/>
    <w:rsid w:val="00DF0A72"/>
    <w:rsid w:val="00DF1330"/>
    <w:rsid w:val="00DF4044"/>
    <w:rsid w:val="00DF7CF9"/>
    <w:rsid w:val="00E0000B"/>
    <w:rsid w:val="00E00708"/>
    <w:rsid w:val="00E04FB7"/>
    <w:rsid w:val="00E100E8"/>
    <w:rsid w:val="00E16AB5"/>
    <w:rsid w:val="00E26720"/>
    <w:rsid w:val="00E5328A"/>
    <w:rsid w:val="00E61CBF"/>
    <w:rsid w:val="00E64F23"/>
    <w:rsid w:val="00E6665F"/>
    <w:rsid w:val="00E77FFE"/>
    <w:rsid w:val="00E80788"/>
    <w:rsid w:val="00E829B9"/>
    <w:rsid w:val="00EA3CC7"/>
    <w:rsid w:val="00EB43C6"/>
    <w:rsid w:val="00EC27A2"/>
    <w:rsid w:val="00EF482B"/>
    <w:rsid w:val="00F008B5"/>
    <w:rsid w:val="00F05318"/>
    <w:rsid w:val="00F061D8"/>
    <w:rsid w:val="00F25690"/>
    <w:rsid w:val="00F25A9C"/>
    <w:rsid w:val="00F52A0E"/>
    <w:rsid w:val="00F54608"/>
    <w:rsid w:val="00F64D6E"/>
    <w:rsid w:val="00F65F7B"/>
    <w:rsid w:val="00F66051"/>
    <w:rsid w:val="00F80BA0"/>
    <w:rsid w:val="00F86E0F"/>
    <w:rsid w:val="00F92814"/>
    <w:rsid w:val="00F963AA"/>
    <w:rsid w:val="00FA67EE"/>
    <w:rsid w:val="00FA7173"/>
    <w:rsid w:val="00FB3E30"/>
    <w:rsid w:val="00FB4422"/>
    <w:rsid w:val="00FB66AB"/>
    <w:rsid w:val="00FC2C65"/>
    <w:rsid w:val="00FC436A"/>
    <w:rsid w:val="00FC6335"/>
    <w:rsid w:val="00FC73B6"/>
    <w:rsid w:val="00FD003B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2E9366"/>
  <w15:chartTrackingRefBased/>
  <w15:docId w15:val="{12180C7F-5C8E-4346-B0B2-DA1959B5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810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810"/>
  </w:style>
  <w:style w:type="paragraph" w:styleId="Pieddepage">
    <w:name w:val="footer"/>
    <w:basedOn w:val="Normal"/>
    <w:link w:val="PieddepageCar"/>
    <w:uiPriority w:val="99"/>
    <w:unhideWhenUsed/>
    <w:rsid w:val="00505810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810"/>
  </w:style>
  <w:style w:type="character" w:styleId="Hyperlien">
    <w:name w:val="Hyperlink"/>
    <w:basedOn w:val="Policepardfaut"/>
    <w:uiPriority w:val="99"/>
    <w:unhideWhenUsed/>
    <w:rsid w:val="006872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25E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1E3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Lettre%20AQRIPH%20mod&#232;le-DESKTOP-DILH89P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AQRIPH modèle-DESKTOP-DILH89P</Template>
  <TotalTime>61</TotalTime>
  <Pages>2</Pages>
  <Words>588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3815</CharactersWithSpaces>
  <SharedDoc>false</SharedDoc>
  <HLinks>
    <vt:vector size="6" baseType="variant">
      <vt:variant>
        <vt:i4>2490414</vt:i4>
      </vt:variant>
      <vt:variant>
        <vt:i4>0</vt:i4>
      </vt:variant>
      <vt:variant>
        <vt:i4>0</vt:i4>
      </vt:variant>
      <vt:variant>
        <vt:i4>5</vt:i4>
      </vt:variant>
      <vt:variant>
        <vt:lpwstr>http://www.aqriph.com/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AQRIPH</dc:creator>
  <cp:keywords/>
  <dc:description/>
  <cp:lastModifiedBy>Isabelle Tremblay</cp:lastModifiedBy>
  <cp:revision>30</cp:revision>
  <dcterms:created xsi:type="dcterms:W3CDTF">2023-03-29T16:46:00Z</dcterms:created>
  <dcterms:modified xsi:type="dcterms:W3CDTF">2023-03-29T18:00:00Z</dcterms:modified>
</cp:coreProperties>
</file>