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2A165" w14:textId="77777777" w:rsidR="00281297" w:rsidRDefault="00281297" w:rsidP="00281297">
      <w:pPr>
        <w:jc w:val="center"/>
      </w:pPr>
      <w:r>
        <w:rPr>
          <w:noProof/>
          <w:lang w:eastAsia="fr-CA"/>
        </w:rPr>
        <w:drawing>
          <wp:inline distT="0" distB="0" distL="0" distR="0" wp14:anchorId="59697611" wp14:editId="3DE35506">
            <wp:extent cx="3181182" cy="949325"/>
            <wp:effectExtent l="0" t="0" r="635" b="3175"/>
            <wp:docPr id="1" name="Image 1"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QRIPH.jpg"/>
                    <pic:cNvPicPr/>
                  </pic:nvPicPr>
                  <pic:blipFill>
                    <a:blip r:embed="rId6">
                      <a:extLst>
                        <a:ext uri="{28A0092B-C50C-407E-A947-70E740481C1C}">
                          <a14:useLocalDpi xmlns:a14="http://schemas.microsoft.com/office/drawing/2010/main" val="0"/>
                        </a:ext>
                      </a:extLst>
                    </a:blip>
                    <a:stretch>
                      <a:fillRect/>
                    </a:stretch>
                  </pic:blipFill>
                  <pic:spPr>
                    <a:xfrm>
                      <a:off x="0" y="0"/>
                      <a:ext cx="3189601" cy="951837"/>
                    </a:xfrm>
                    <a:prstGeom prst="rect">
                      <a:avLst/>
                    </a:prstGeom>
                  </pic:spPr>
                </pic:pic>
              </a:graphicData>
            </a:graphic>
          </wp:inline>
        </w:drawing>
      </w:r>
    </w:p>
    <w:p w14:paraId="1686896B" w14:textId="77777777" w:rsidR="00281297" w:rsidRDefault="00281297" w:rsidP="00281297">
      <w:pPr>
        <w:jc w:val="both"/>
      </w:pPr>
    </w:p>
    <w:p w14:paraId="42528CA9" w14:textId="77777777" w:rsidR="00281297" w:rsidRDefault="00281297" w:rsidP="00281297">
      <w:pPr>
        <w:jc w:val="both"/>
        <w:rPr>
          <w:b/>
        </w:rPr>
      </w:pPr>
    </w:p>
    <w:p w14:paraId="73EB1179" w14:textId="77777777" w:rsidR="00281297" w:rsidRPr="00D91B7A" w:rsidRDefault="00281297" w:rsidP="00281297">
      <w:pPr>
        <w:jc w:val="both"/>
        <w:rPr>
          <w:b/>
          <w:bCs w:val="0"/>
        </w:rPr>
      </w:pPr>
      <w:r w:rsidRPr="00D91B7A">
        <w:rPr>
          <w:b/>
        </w:rPr>
        <w:t>COMMUNIQUÉ</w:t>
      </w:r>
    </w:p>
    <w:p w14:paraId="1C0A463F" w14:textId="77777777" w:rsidR="00281297" w:rsidRPr="001B7373" w:rsidRDefault="00281297" w:rsidP="00281297">
      <w:pPr>
        <w:jc w:val="right"/>
        <w:rPr>
          <w:i/>
          <w:iCs/>
        </w:rPr>
      </w:pPr>
      <w:r>
        <w:rPr>
          <w:i/>
          <w:iCs/>
        </w:rPr>
        <w:t>Pour diffusion immédiate</w:t>
      </w:r>
    </w:p>
    <w:p w14:paraId="513598F5" w14:textId="77777777" w:rsidR="00281297" w:rsidRPr="001B7373" w:rsidRDefault="00281297" w:rsidP="00281297"/>
    <w:p w14:paraId="1039C014" w14:textId="77777777" w:rsidR="00281297" w:rsidRPr="001B7373" w:rsidRDefault="00281297" w:rsidP="00281297"/>
    <w:p w14:paraId="128A8746" w14:textId="1D7CE1F0" w:rsidR="00281297" w:rsidRPr="001B7373" w:rsidRDefault="00281297" w:rsidP="00281297">
      <w:pPr>
        <w:jc w:val="center"/>
        <w:rPr>
          <w:b/>
          <w:bCs w:val="0"/>
          <w:sz w:val="28"/>
          <w:szCs w:val="28"/>
        </w:rPr>
      </w:pPr>
      <w:r>
        <w:rPr>
          <w:b/>
          <w:bCs w:val="0"/>
          <w:sz w:val="28"/>
          <w:szCs w:val="28"/>
        </w:rPr>
        <w:t>Les modifications législatives concernant les municipalités prévues au Projet de loi n</w:t>
      </w:r>
      <w:r w:rsidRPr="00281297">
        <w:rPr>
          <w:b/>
          <w:bCs w:val="0"/>
          <w:sz w:val="28"/>
          <w:szCs w:val="28"/>
          <w:vertAlign w:val="superscript"/>
        </w:rPr>
        <w:t>o</w:t>
      </w:r>
      <w:r>
        <w:rPr>
          <w:b/>
          <w:bCs w:val="0"/>
          <w:sz w:val="28"/>
          <w:szCs w:val="28"/>
        </w:rPr>
        <w:t xml:space="preserve"> 57 : un pas dans la bonne direction.</w:t>
      </w:r>
    </w:p>
    <w:p w14:paraId="67745142" w14:textId="77777777" w:rsidR="00281297" w:rsidRDefault="00281297" w:rsidP="00281297"/>
    <w:p w14:paraId="745E4018" w14:textId="77777777" w:rsidR="00281297" w:rsidRDefault="00281297" w:rsidP="00281297"/>
    <w:p w14:paraId="6D705B5C" w14:textId="02FB40AC" w:rsidR="00281297" w:rsidRDefault="00281297" w:rsidP="00281297">
      <w:pPr>
        <w:jc w:val="both"/>
        <w:rPr>
          <w:b/>
          <w:bCs w:val="0"/>
        </w:rPr>
      </w:pPr>
      <w:r>
        <w:t>Québec, 30 avril 2024 – </w:t>
      </w:r>
      <w:r w:rsidRPr="00281297">
        <w:rPr>
          <w:b/>
          <w:bCs w:val="0"/>
        </w:rPr>
        <w:t>L</w:t>
      </w:r>
      <w:r w:rsidRPr="001B7373">
        <w:rPr>
          <w:b/>
          <w:bCs w:val="0"/>
        </w:rPr>
        <w:t xml:space="preserve">’Alliance québécoise des regroupements régionaux pour l’intégration des personnes handicapées (AQRIPH) </w:t>
      </w:r>
      <w:r>
        <w:rPr>
          <w:b/>
          <w:bCs w:val="0"/>
        </w:rPr>
        <w:t xml:space="preserve">voit d’un bon œil certaines dispositions </w:t>
      </w:r>
      <w:r w:rsidR="001E2ECE">
        <w:rPr>
          <w:b/>
          <w:bCs w:val="0"/>
        </w:rPr>
        <w:t xml:space="preserve">touchant les personnes handicapées contenues dans le </w:t>
      </w:r>
      <w:r>
        <w:rPr>
          <w:b/>
          <w:bCs w:val="0"/>
        </w:rPr>
        <w:t>projet de loi n</w:t>
      </w:r>
      <w:r w:rsidRPr="00281297">
        <w:rPr>
          <w:b/>
          <w:bCs w:val="0"/>
          <w:vertAlign w:val="superscript"/>
        </w:rPr>
        <w:t>o</w:t>
      </w:r>
      <w:r>
        <w:rPr>
          <w:b/>
          <w:bCs w:val="0"/>
        </w:rPr>
        <w:t xml:space="preserve"> 57 </w:t>
      </w:r>
      <w:r w:rsidR="001E2ECE">
        <w:rPr>
          <w:b/>
          <w:bCs w:val="0"/>
        </w:rPr>
        <w:t>sur des modifications législatives concernant les municipalités.</w:t>
      </w:r>
    </w:p>
    <w:p w14:paraId="3078C231" w14:textId="77777777" w:rsidR="00281297" w:rsidRDefault="00281297" w:rsidP="00281297">
      <w:pPr>
        <w:jc w:val="both"/>
        <w:rPr>
          <w:b/>
          <w:bCs w:val="0"/>
        </w:rPr>
      </w:pPr>
    </w:p>
    <w:p w14:paraId="3CD184B1" w14:textId="29AB222A" w:rsidR="004C2153" w:rsidRDefault="004C2153" w:rsidP="00281297">
      <w:pPr>
        <w:jc w:val="both"/>
      </w:pPr>
      <w:r w:rsidRPr="004C2153">
        <w:t>L’AQRIPH</w:t>
      </w:r>
      <w:r>
        <w:t xml:space="preserve"> considère comme étant un pas dans la bonne direction d’étendre l’obligation de produire un plan d’action annuel visant à </w:t>
      </w:r>
      <w:r w:rsidRPr="004C2153">
        <w:t>réduire les obstacles à l’intégration des personnes handicapées</w:t>
      </w:r>
      <w:r>
        <w:t xml:space="preserve"> aux municipalités comptant au moins 10 000 habitants (au lieu de 15 000 habitants)</w:t>
      </w:r>
      <w:r w:rsidR="006744CA">
        <w:t>, bien qu’elle aurait préféré un seuil plus bas (6 500 habitants). L’AQRIPH croit cependant qu’il serait pertinent aussi d’obliger la consultation de personnes handicapées ou d’organismes représentant les personnes handicapées pour l’élaboration des plans.</w:t>
      </w:r>
    </w:p>
    <w:p w14:paraId="6D6778DB" w14:textId="0F39F0A4" w:rsidR="004C2153" w:rsidRPr="004C2153" w:rsidRDefault="004C2153" w:rsidP="00281297">
      <w:pPr>
        <w:jc w:val="both"/>
      </w:pPr>
      <w:r w:rsidRPr="004C2153">
        <w:t xml:space="preserve"> </w:t>
      </w:r>
    </w:p>
    <w:p w14:paraId="2EDB2C6C" w14:textId="6F6DB077" w:rsidR="003A6BCF" w:rsidRDefault="004C2153" w:rsidP="007D5290">
      <w:pPr>
        <w:jc w:val="both"/>
        <w:rPr>
          <w:lang w:eastAsia="fr-CA"/>
        </w:rPr>
      </w:pPr>
      <w:r>
        <w:t>Aussi</w:t>
      </w:r>
      <w:r w:rsidR="001E2ECE">
        <w:t>,</w:t>
      </w:r>
      <w:r>
        <w:t xml:space="preserve"> l</w:t>
      </w:r>
      <w:r w:rsidR="00281297">
        <w:t>’AQRIPH</w:t>
      </w:r>
      <w:r w:rsidR="003A6BCF">
        <w:t xml:space="preserve"> voit positivement</w:t>
      </w:r>
      <w:r w:rsidR="00281297">
        <w:t xml:space="preserve"> l’ajout de dispositions permettant </w:t>
      </w:r>
      <w:r w:rsidR="003A6BCF">
        <w:rPr>
          <w:lang w:eastAsia="fr-CA"/>
        </w:rPr>
        <w:t xml:space="preserve">à un membre d’un conseil d’une municipalité ou d’une régie intermunicipale ayant une déficience entraînant une incapacité significative et persistante limitant la possibilité de sa participation en personne à </w:t>
      </w:r>
      <w:r>
        <w:rPr>
          <w:lang w:eastAsia="fr-CA"/>
        </w:rPr>
        <w:t xml:space="preserve">une </w:t>
      </w:r>
      <w:r w:rsidR="003A6BCF">
        <w:rPr>
          <w:lang w:eastAsia="fr-CA"/>
        </w:rPr>
        <w:t>assemblée de pouvoir, s’il le souhaite, participer à distance.</w:t>
      </w:r>
      <w:r>
        <w:rPr>
          <w:lang w:eastAsia="fr-CA"/>
        </w:rPr>
        <w:t xml:space="preserve"> Cela devrait faciliter la participation de personnes handicapées à ces instances. </w:t>
      </w:r>
    </w:p>
    <w:p w14:paraId="501DD1F1" w14:textId="77777777" w:rsidR="004C2153" w:rsidRDefault="004C2153" w:rsidP="003A6BCF">
      <w:pPr>
        <w:rPr>
          <w:lang w:eastAsia="fr-CA"/>
        </w:rPr>
      </w:pPr>
    </w:p>
    <w:p w14:paraId="5226B34E" w14:textId="3078B8A7" w:rsidR="004C2153" w:rsidRDefault="004C2153" w:rsidP="007D5290">
      <w:pPr>
        <w:jc w:val="both"/>
        <w:rPr>
          <w:lang w:eastAsia="fr-CA"/>
        </w:rPr>
      </w:pPr>
      <w:r>
        <w:rPr>
          <w:lang w:eastAsia="fr-CA"/>
        </w:rPr>
        <w:t>Enfin</w:t>
      </w:r>
      <w:r w:rsidR="006744CA">
        <w:rPr>
          <w:lang w:eastAsia="fr-CA"/>
        </w:rPr>
        <w:t xml:space="preserve">, le fait de rendre obligatoire l’accessibilité aux personnes handicapées du </w:t>
      </w:r>
      <w:r w:rsidRPr="004C2153">
        <w:rPr>
          <w:lang w:eastAsia="fr-CA"/>
        </w:rPr>
        <w:t xml:space="preserve">bureau de vote par anticipation et </w:t>
      </w:r>
      <w:r w:rsidR="006744CA">
        <w:rPr>
          <w:lang w:eastAsia="fr-CA"/>
        </w:rPr>
        <w:t xml:space="preserve">de celui </w:t>
      </w:r>
      <w:r w:rsidRPr="004C2153">
        <w:rPr>
          <w:lang w:eastAsia="fr-CA"/>
        </w:rPr>
        <w:t>du président d’élection</w:t>
      </w:r>
      <w:r w:rsidR="006744CA">
        <w:rPr>
          <w:lang w:eastAsia="fr-CA"/>
        </w:rPr>
        <w:t xml:space="preserve"> constitue un correctif qu’il est plus que temps d’instaurer.</w:t>
      </w:r>
    </w:p>
    <w:p w14:paraId="0E361FBB" w14:textId="77777777" w:rsidR="006744CA" w:rsidRDefault="006744CA" w:rsidP="003A6BCF">
      <w:pPr>
        <w:rPr>
          <w:lang w:eastAsia="fr-CA"/>
        </w:rPr>
      </w:pPr>
    </w:p>
    <w:p w14:paraId="4391C909" w14:textId="1401E29A" w:rsidR="00281297" w:rsidRPr="00357D64" w:rsidRDefault="006744CA" w:rsidP="00B23291">
      <w:pPr>
        <w:rPr>
          <w:b/>
          <w:bCs w:val="0"/>
        </w:rPr>
      </w:pPr>
      <w:r>
        <w:rPr>
          <w:b/>
        </w:rPr>
        <w:br w:type="page"/>
      </w:r>
      <w:r w:rsidR="00281297" w:rsidRPr="00357D64">
        <w:rPr>
          <w:b/>
        </w:rPr>
        <w:lastRenderedPageBreak/>
        <w:t>Citations</w:t>
      </w:r>
    </w:p>
    <w:p w14:paraId="4ADA3CD4" w14:textId="77777777" w:rsidR="00281297" w:rsidRDefault="00281297" w:rsidP="00281297">
      <w:pPr>
        <w:jc w:val="both"/>
      </w:pPr>
    </w:p>
    <w:p w14:paraId="315C73B3" w14:textId="6893B118" w:rsidR="00281297" w:rsidRPr="00AE4CE7" w:rsidRDefault="00281297" w:rsidP="001E2ECE">
      <w:pPr>
        <w:spacing w:line="240" w:lineRule="auto"/>
        <w:jc w:val="both"/>
        <w:rPr>
          <w:bCs w:val="0"/>
        </w:rPr>
      </w:pPr>
      <w:r>
        <w:t>« </w:t>
      </w:r>
      <w:r w:rsidR="001E2ECE">
        <w:t xml:space="preserve">Nous réitérons notre </w:t>
      </w:r>
      <w:r w:rsidR="006744CA">
        <w:t>position de 2019 sur la pertinence d’étendre</w:t>
      </w:r>
      <w:r w:rsidR="001E2ECE">
        <w:t xml:space="preserve"> l’obligation de faire un plan d’action favorisant la participation sociale des personnes handicapées à plus de municipalités et, dans ce sens, le projet de loi comporte des éléments à ce sujet qui sont un pas dans la bonne direction. »</w:t>
      </w:r>
    </w:p>
    <w:p w14:paraId="42CF55F8" w14:textId="77777777" w:rsidR="00281297" w:rsidRDefault="00281297" w:rsidP="00281297">
      <w:pPr>
        <w:jc w:val="both"/>
      </w:pPr>
    </w:p>
    <w:p w14:paraId="2721F0EC" w14:textId="77777777" w:rsidR="00281297" w:rsidRPr="00EA3CC7" w:rsidRDefault="00281297" w:rsidP="00281297">
      <w:pPr>
        <w:jc w:val="both"/>
        <w:rPr>
          <w:i/>
          <w:iCs/>
        </w:rPr>
      </w:pPr>
      <w:r>
        <w:rPr>
          <w:i/>
          <w:iCs/>
        </w:rPr>
        <w:t xml:space="preserve">Isabelle Tremblay, </w:t>
      </w:r>
      <w:r>
        <w:t>Direc</w:t>
      </w:r>
      <w:r w:rsidRPr="00736540">
        <w:t>trice de l’AQRIPH</w:t>
      </w:r>
    </w:p>
    <w:p w14:paraId="5C2461CD" w14:textId="77777777" w:rsidR="00281297" w:rsidRDefault="00281297" w:rsidP="00281297">
      <w:pPr>
        <w:jc w:val="both"/>
      </w:pPr>
    </w:p>
    <w:p w14:paraId="7AC8EE07" w14:textId="77777777" w:rsidR="00281297" w:rsidRPr="00D94B57" w:rsidRDefault="00281297" w:rsidP="00281297">
      <w:pPr>
        <w:jc w:val="both"/>
        <w:rPr>
          <w:b/>
          <w:bCs w:val="0"/>
        </w:rPr>
      </w:pPr>
      <w:r w:rsidRPr="00D94B57">
        <w:rPr>
          <w:b/>
        </w:rPr>
        <w:t>L’AQRIPH</w:t>
      </w:r>
    </w:p>
    <w:p w14:paraId="09608CB7" w14:textId="77777777" w:rsidR="00281297" w:rsidRDefault="00281297" w:rsidP="00281297">
      <w:pPr>
        <w:jc w:val="both"/>
      </w:pPr>
    </w:p>
    <w:p w14:paraId="5802F9DB" w14:textId="669A182E" w:rsidR="00281297" w:rsidRDefault="00281297" w:rsidP="00281297">
      <w:pPr>
        <w:jc w:val="both"/>
      </w:pPr>
      <w:r>
        <w:t xml:space="preserve">L’AQRIPH est une instance nationale de concertation et de représentation pour la défense collective des droits des personnes handicapées et de </w:t>
      </w:r>
      <w:r w:rsidR="007D5290">
        <w:t>leurs proches</w:t>
      </w:r>
      <w:r>
        <w:t xml:space="preserve">. Elle est constituée de 17 regroupements régionaux rejoignant plus de 400 organismes de personnes handicapées et de parents de personnes handicapées sur tout le territoire du Québec. </w:t>
      </w:r>
    </w:p>
    <w:p w14:paraId="05383B4D" w14:textId="77777777" w:rsidR="00281297" w:rsidRDefault="00281297" w:rsidP="00281297">
      <w:pPr>
        <w:jc w:val="both"/>
      </w:pPr>
    </w:p>
    <w:p w14:paraId="5947AC4C" w14:textId="77777777" w:rsidR="00281297" w:rsidRDefault="00281297" w:rsidP="00281297">
      <w:pPr>
        <w:jc w:val="both"/>
      </w:pPr>
    </w:p>
    <w:p w14:paraId="2DA9C9B6" w14:textId="77777777" w:rsidR="00281297" w:rsidRDefault="00281297" w:rsidP="00281297">
      <w:pPr>
        <w:ind w:left="720"/>
        <w:jc w:val="center"/>
      </w:pPr>
      <w:r>
        <w:t>- 30 -</w:t>
      </w:r>
    </w:p>
    <w:p w14:paraId="65AC0662" w14:textId="77777777" w:rsidR="00281297" w:rsidRDefault="00281297" w:rsidP="00281297">
      <w:pPr>
        <w:jc w:val="both"/>
      </w:pPr>
    </w:p>
    <w:p w14:paraId="137DD172" w14:textId="77777777" w:rsidR="00281297" w:rsidRDefault="00281297" w:rsidP="00281297">
      <w:pPr>
        <w:jc w:val="both"/>
      </w:pPr>
    </w:p>
    <w:p w14:paraId="5CD8AED8" w14:textId="77777777" w:rsidR="00281297" w:rsidRDefault="00281297" w:rsidP="00281297">
      <w:pPr>
        <w:jc w:val="both"/>
      </w:pPr>
      <w:r>
        <w:t xml:space="preserve">Source : </w:t>
      </w:r>
      <w:r>
        <w:tab/>
        <w:t>Isabelle Tremblay</w:t>
      </w:r>
    </w:p>
    <w:p w14:paraId="7FB889A7" w14:textId="77777777" w:rsidR="00281297" w:rsidRDefault="007D5290" w:rsidP="00281297">
      <w:pPr>
        <w:ind w:left="708" w:firstLine="708"/>
        <w:jc w:val="both"/>
      </w:pPr>
      <w:hyperlink r:id="rId7" w:history="1">
        <w:r w:rsidR="00281297" w:rsidRPr="002365E9">
          <w:rPr>
            <w:rStyle w:val="Hyperlien"/>
          </w:rPr>
          <w:t>aqriph@aqriph.com</w:t>
        </w:r>
      </w:hyperlink>
    </w:p>
    <w:p w14:paraId="6585CF2A" w14:textId="77777777" w:rsidR="00281297" w:rsidRDefault="00281297" w:rsidP="00281297">
      <w:pPr>
        <w:jc w:val="both"/>
      </w:pPr>
    </w:p>
    <w:p w14:paraId="5BFD483A" w14:textId="77777777" w:rsidR="00157623" w:rsidRDefault="00157623"/>
    <w:sectPr w:rsidR="00157623" w:rsidSect="00157623">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F40C1" w14:textId="77777777" w:rsidR="00157623" w:rsidRDefault="00157623" w:rsidP="001E2ECE">
      <w:pPr>
        <w:spacing w:line="240" w:lineRule="auto"/>
      </w:pPr>
      <w:r>
        <w:separator/>
      </w:r>
    </w:p>
  </w:endnote>
  <w:endnote w:type="continuationSeparator" w:id="0">
    <w:p w14:paraId="7BFD77A6" w14:textId="77777777" w:rsidR="00157623" w:rsidRDefault="00157623" w:rsidP="001E2E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A3079" w14:textId="77777777" w:rsidR="00157623" w:rsidRDefault="001576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85348" w14:textId="77777777" w:rsidR="00157623" w:rsidRDefault="0015762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7C425" w14:textId="77777777" w:rsidR="00157623" w:rsidRDefault="001576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A0292" w14:textId="77777777" w:rsidR="00157623" w:rsidRDefault="00157623" w:rsidP="001E2ECE">
      <w:pPr>
        <w:spacing w:line="240" w:lineRule="auto"/>
      </w:pPr>
      <w:r>
        <w:separator/>
      </w:r>
    </w:p>
  </w:footnote>
  <w:footnote w:type="continuationSeparator" w:id="0">
    <w:p w14:paraId="7E92E037" w14:textId="77777777" w:rsidR="00157623" w:rsidRDefault="00157623" w:rsidP="001E2E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1A1C4" w14:textId="77777777" w:rsidR="00157623" w:rsidRDefault="0015762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7CDB5" w14:textId="77777777" w:rsidR="00157623" w:rsidRDefault="0015762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2C5B4" w14:textId="77777777" w:rsidR="00157623" w:rsidRDefault="0015762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297"/>
    <w:rsid w:val="00157623"/>
    <w:rsid w:val="001E2ECE"/>
    <w:rsid w:val="00281297"/>
    <w:rsid w:val="002F7E56"/>
    <w:rsid w:val="003A6BCF"/>
    <w:rsid w:val="003E33CC"/>
    <w:rsid w:val="004B38E5"/>
    <w:rsid w:val="004C2153"/>
    <w:rsid w:val="00655373"/>
    <w:rsid w:val="006744CA"/>
    <w:rsid w:val="006A3267"/>
    <w:rsid w:val="0079210C"/>
    <w:rsid w:val="007D5290"/>
    <w:rsid w:val="008009BE"/>
    <w:rsid w:val="00B23291"/>
    <w:rsid w:val="00E216B6"/>
    <w:rsid w:val="00E9023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DE9A"/>
  <w15:chartTrackingRefBased/>
  <w15:docId w15:val="{16DC0DB2-3EC3-4B50-AB4F-7659AC4A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bCs/>
        <w:kern w:val="2"/>
        <w:sz w:val="24"/>
        <w:szCs w:val="24"/>
        <w:lang w:val="fr-CA"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297"/>
  </w:style>
  <w:style w:type="paragraph" w:styleId="Titre1">
    <w:name w:val="heading 1"/>
    <w:basedOn w:val="Normal"/>
    <w:next w:val="Normal"/>
    <w:link w:val="Titre1Car"/>
    <w:uiPriority w:val="9"/>
    <w:qFormat/>
    <w:rsid w:val="002812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812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8129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812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281297"/>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281297"/>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281297"/>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281297"/>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281297"/>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79210C"/>
    <w:pPr>
      <w:framePr w:w="7938" w:h="1985" w:hRule="exact" w:hSpace="141" w:wrap="auto" w:hAnchor="page" w:xAlign="center" w:yAlign="bottom"/>
      <w:spacing w:line="240" w:lineRule="auto"/>
      <w:ind w:left="2835"/>
    </w:pPr>
    <w:rPr>
      <w:rFonts w:eastAsiaTheme="majorEastAsia" w:cstheme="majorBidi"/>
    </w:rPr>
  </w:style>
  <w:style w:type="paragraph" w:styleId="Adresseexpditeur">
    <w:name w:val="envelope return"/>
    <w:basedOn w:val="Normal"/>
    <w:uiPriority w:val="99"/>
    <w:semiHidden/>
    <w:unhideWhenUsed/>
    <w:rsid w:val="0079210C"/>
    <w:pPr>
      <w:spacing w:line="240" w:lineRule="auto"/>
    </w:pPr>
    <w:rPr>
      <w:rFonts w:eastAsiaTheme="majorEastAsia" w:cstheme="majorBidi"/>
      <w:sz w:val="20"/>
      <w:szCs w:val="20"/>
    </w:rPr>
  </w:style>
  <w:style w:type="character" w:customStyle="1" w:styleId="Titre1Car">
    <w:name w:val="Titre 1 Car"/>
    <w:basedOn w:val="Policepardfaut"/>
    <w:link w:val="Titre1"/>
    <w:uiPriority w:val="9"/>
    <w:rsid w:val="0028129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8129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81297"/>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281297"/>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281297"/>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281297"/>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281297"/>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281297"/>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281297"/>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281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812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8129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81297"/>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28129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81297"/>
    <w:rPr>
      <w:i/>
      <w:iCs/>
      <w:color w:val="404040" w:themeColor="text1" w:themeTint="BF"/>
    </w:rPr>
  </w:style>
  <w:style w:type="paragraph" w:styleId="Paragraphedeliste">
    <w:name w:val="List Paragraph"/>
    <w:basedOn w:val="Normal"/>
    <w:uiPriority w:val="34"/>
    <w:qFormat/>
    <w:rsid w:val="00281297"/>
    <w:pPr>
      <w:ind w:left="720"/>
      <w:contextualSpacing/>
    </w:pPr>
  </w:style>
  <w:style w:type="character" w:styleId="Accentuationintense">
    <w:name w:val="Intense Emphasis"/>
    <w:basedOn w:val="Policepardfaut"/>
    <w:uiPriority w:val="21"/>
    <w:qFormat/>
    <w:rsid w:val="00281297"/>
    <w:rPr>
      <w:i/>
      <w:iCs/>
      <w:color w:val="2F5496" w:themeColor="accent1" w:themeShade="BF"/>
    </w:rPr>
  </w:style>
  <w:style w:type="paragraph" w:styleId="Citationintense">
    <w:name w:val="Intense Quote"/>
    <w:basedOn w:val="Normal"/>
    <w:next w:val="Normal"/>
    <w:link w:val="CitationintenseCar"/>
    <w:uiPriority w:val="30"/>
    <w:qFormat/>
    <w:rsid w:val="002812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81297"/>
    <w:rPr>
      <w:i/>
      <w:iCs/>
      <w:color w:val="2F5496" w:themeColor="accent1" w:themeShade="BF"/>
    </w:rPr>
  </w:style>
  <w:style w:type="character" w:styleId="Rfrenceintense">
    <w:name w:val="Intense Reference"/>
    <w:basedOn w:val="Policepardfaut"/>
    <w:uiPriority w:val="32"/>
    <w:qFormat/>
    <w:rsid w:val="00281297"/>
    <w:rPr>
      <w:b/>
      <w:bCs w:val="0"/>
      <w:smallCaps/>
      <w:color w:val="2F5496" w:themeColor="accent1" w:themeShade="BF"/>
      <w:spacing w:val="5"/>
    </w:rPr>
  </w:style>
  <w:style w:type="character" w:styleId="Hyperlien">
    <w:name w:val="Hyperlink"/>
    <w:basedOn w:val="Policepardfaut"/>
    <w:uiPriority w:val="99"/>
    <w:unhideWhenUsed/>
    <w:rsid w:val="00281297"/>
    <w:rPr>
      <w:color w:val="0563C1" w:themeColor="hyperlink"/>
      <w:u w:val="single"/>
    </w:rPr>
  </w:style>
  <w:style w:type="paragraph" w:styleId="En-tte">
    <w:name w:val="header"/>
    <w:basedOn w:val="Normal"/>
    <w:link w:val="En-tteCar"/>
    <w:uiPriority w:val="99"/>
    <w:unhideWhenUsed/>
    <w:rsid w:val="00281297"/>
    <w:pPr>
      <w:tabs>
        <w:tab w:val="center" w:pos="4320"/>
        <w:tab w:val="right" w:pos="8640"/>
      </w:tabs>
      <w:spacing w:line="240" w:lineRule="auto"/>
    </w:pPr>
  </w:style>
  <w:style w:type="character" w:customStyle="1" w:styleId="En-tteCar">
    <w:name w:val="En-tête Car"/>
    <w:basedOn w:val="Policepardfaut"/>
    <w:link w:val="En-tte"/>
    <w:uiPriority w:val="99"/>
    <w:rsid w:val="00281297"/>
  </w:style>
  <w:style w:type="paragraph" w:styleId="Pieddepage">
    <w:name w:val="footer"/>
    <w:basedOn w:val="Normal"/>
    <w:link w:val="PieddepageCar"/>
    <w:uiPriority w:val="99"/>
    <w:unhideWhenUsed/>
    <w:rsid w:val="00281297"/>
    <w:pPr>
      <w:tabs>
        <w:tab w:val="center" w:pos="4320"/>
        <w:tab w:val="right" w:pos="8640"/>
      </w:tabs>
      <w:spacing w:line="240" w:lineRule="auto"/>
    </w:pPr>
  </w:style>
  <w:style w:type="character" w:customStyle="1" w:styleId="PieddepageCar">
    <w:name w:val="Pied de page Car"/>
    <w:basedOn w:val="Policepardfaut"/>
    <w:link w:val="Pieddepage"/>
    <w:uiPriority w:val="99"/>
    <w:rsid w:val="0028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258745">
      <w:bodyDiv w:val="1"/>
      <w:marLeft w:val="0"/>
      <w:marRight w:val="0"/>
      <w:marTop w:val="0"/>
      <w:marBottom w:val="0"/>
      <w:divBdr>
        <w:top w:val="none" w:sz="0" w:space="0" w:color="auto"/>
        <w:left w:val="none" w:sz="0" w:space="0" w:color="auto"/>
        <w:bottom w:val="none" w:sz="0" w:space="0" w:color="auto"/>
        <w:right w:val="none" w:sz="0" w:space="0" w:color="auto"/>
      </w:divBdr>
    </w:div>
    <w:div w:id="147896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aqriph@aqriph.com"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8D078915A1B4D9012C5912189332F" ma:contentTypeVersion="11" ma:contentTypeDescription="Crée un document." ma:contentTypeScope="" ma:versionID="145c190b6e10127a1666de0a73eac123">
  <xsd:schema xmlns:xsd="http://www.w3.org/2001/XMLSchema" xmlns:xs="http://www.w3.org/2001/XMLSchema" xmlns:p="http://schemas.microsoft.com/office/2006/metadata/properties" xmlns:ns2="5c3b56b7-4de4-492c-97fe-e706f7f9b69c" xmlns:ns3="e5d89e61-9a1c-4587-9c9e-76ad24d81c04" targetNamespace="http://schemas.microsoft.com/office/2006/metadata/properties" ma:root="true" ma:fieldsID="5fd30d63e2f2c69c03d66eb04caa72fd" ns2:_="" ns3:_="">
    <xsd:import namespace="5c3b56b7-4de4-492c-97fe-e706f7f9b69c"/>
    <xsd:import namespace="e5d89e61-9a1c-4587-9c9e-76ad24d81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56b7-4de4-492c-97fe-e706f7f9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45fa741-63b0-4201-9dc8-332fbfc37a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89e61-9a1c-4587-9c9e-76ad24d81c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cb2879-a282-4ff7-9b42-36a134ea8e44}" ma:internalName="TaxCatchAll" ma:showField="CatchAllData" ma:web="e5d89e61-9a1c-4587-9c9e-76ad24d81c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d89e61-9a1c-4587-9c9e-76ad24d81c04" xsi:nil="true"/>
    <lcf76f155ced4ddcb4097134ff3c332f xmlns="5c3b56b7-4de4-492c-97fe-e706f7f9b6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01FACB-13DB-4FA2-BDDE-06DBC686B793}"/>
</file>

<file path=customXml/itemProps2.xml><?xml version="1.0" encoding="utf-8"?>
<ds:datastoreItem xmlns:ds="http://schemas.openxmlformats.org/officeDocument/2006/customXml" ds:itemID="{AE447A9D-A0FE-4DC3-BCD2-E67942D672D9}"/>
</file>

<file path=customXml/itemProps3.xml><?xml version="1.0" encoding="utf-8"?>
<ds:datastoreItem xmlns:ds="http://schemas.openxmlformats.org/officeDocument/2006/customXml" ds:itemID="{94231731-6F44-4797-B32D-B4399274E77F}"/>
</file>

<file path=docProps/app.xml><?xml version="1.0" encoding="utf-8"?>
<Properties xmlns="http://schemas.openxmlformats.org/officeDocument/2006/extended-properties" xmlns:vt="http://schemas.openxmlformats.org/officeDocument/2006/docPropsVTypes">
  <Template>Normal</Template>
  <TotalTime>3</TotalTime>
  <Pages>2</Pages>
  <Words>378</Words>
  <Characters>2085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Berger</dc:creator>
  <cp:keywords/>
  <dc:description/>
  <cp:lastModifiedBy>Isabelle Tremblay</cp:lastModifiedBy>
  <cp:revision>3</cp:revision>
  <dcterms:created xsi:type="dcterms:W3CDTF">2024-04-30T14:23:00Z</dcterms:created>
  <dcterms:modified xsi:type="dcterms:W3CDTF">2024-04-30T14:44:00Z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0x0101006418D078915A1B4D9012C5912189332F</vt:lpwstr>
  </property>
</Properties>
</file>